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Pr="00A5009F" w:rsidRDefault="000529D2" w:rsidP="00A5009F">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C0831" w:rsidRDefault="00216E60" w:rsidP="00216E60">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F5365" w:rsidP="00897DAF">
            <w:pPr>
              <w:suppressLineNumbers/>
              <w:rPr>
                <w:b/>
                <w:bCs/>
                <w:noProof w:val="0"/>
                <w:sz w:val="26"/>
                <w:szCs w:val="26"/>
              </w:rPr>
            </w:pPr>
            <w:r>
              <w:rPr>
                <w:rFonts w:ascii="Arial" w:hAnsi="Arial" w:hint="cs"/>
                <w:b/>
                <w:bCs/>
                <w:noProof w:val="0"/>
                <w:sz w:val="26"/>
                <w:szCs w:val="26"/>
                <w:rtl/>
              </w:rPr>
              <w:t>****</w:t>
            </w:r>
          </w:p>
        </w:tc>
      </w:tr>
      <w:tr w:rsidR="0094424E">
        <w:trPr>
          <w:jc w:val="center"/>
        </w:trPr>
        <w:tc>
          <w:tcPr>
            <w:tcW w:w="8820" w:type="dxa"/>
            <w:gridSpan w:val="3"/>
          </w:tcPr>
          <w:p w:rsidR="0094424E" w:rsidRDefault="00216E60" w:rsidP="00216E60">
            <w:pPr>
              <w:suppressLineNumbers/>
              <w:tabs>
                <w:tab w:val="left" w:pos="3279"/>
              </w:tabs>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 xml:space="preserve">ע"י ב"כ </w:t>
            </w:r>
            <w:r w:rsidR="00B26566">
              <w:rPr>
                <w:rFonts w:ascii="Arial" w:hAnsi="Arial" w:hint="cs"/>
                <w:b/>
                <w:bCs/>
                <w:noProof w:val="0"/>
                <w:sz w:val="26"/>
                <w:szCs w:val="26"/>
                <w:rtl/>
              </w:rPr>
              <w:t xml:space="preserve"> עוה"ד </w:t>
            </w:r>
            <w:r>
              <w:rPr>
                <w:rFonts w:ascii="Arial" w:hAnsi="Arial" w:hint="cs"/>
                <w:b/>
                <w:bCs/>
                <w:noProof w:val="0"/>
                <w:sz w:val="26"/>
                <w:szCs w:val="26"/>
                <w:rtl/>
              </w:rPr>
              <w:t xml:space="preserve">רעות דניאל </w:t>
            </w:r>
            <w:r w:rsidR="00B26566">
              <w:rPr>
                <w:rFonts w:ascii="Arial" w:hAnsi="Arial" w:hint="cs"/>
                <w:b/>
                <w:bCs/>
                <w:noProof w:val="0"/>
                <w:sz w:val="26"/>
                <w:szCs w:val="26"/>
                <w:rtl/>
              </w:rPr>
              <w:t>ורוברט ליכט פטרן</w:t>
            </w:r>
          </w:p>
          <w:p w:rsidR="00216E60" w:rsidRDefault="00216E60" w:rsidP="00216E60">
            <w:pPr>
              <w:suppressLineNumbers/>
              <w:tabs>
                <w:tab w:val="left" w:pos="3279"/>
              </w:tab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62CA3" w:rsidP="00216E60">
            <w:pPr>
              <w:suppressLineNumbers/>
              <w:rPr>
                <w:rFonts w:ascii="Arial" w:hAnsi="Arial"/>
                <w:b/>
                <w:bCs/>
                <w:noProof w:val="0"/>
                <w:sz w:val="26"/>
                <w:szCs w:val="26"/>
              </w:rPr>
            </w:pPr>
            <w:sdt>
              <w:sdtPr>
                <w:rPr>
                  <w:rtl/>
                </w:rPr>
                <w:alias w:val="1184"/>
                <w:tag w:val="1184"/>
                <w:id w:val="-340621022"/>
                <w:text w:multiLine="1"/>
              </w:sdtPr>
              <w:sdtEndPr/>
              <w:sdtContent>
                <w:r w:rsidR="00216E60">
                  <w:rPr>
                    <w:rFonts w:ascii="Arial" w:hAnsi="Arial" w:hint="cs"/>
                    <w:b/>
                    <w:bCs/>
                    <w:noProof w:val="0"/>
                    <w:sz w:val="26"/>
                    <w:szCs w:val="26"/>
                    <w:rtl/>
                  </w:rPr>
                  <w:t>משיב</w:t>
                </w:r>
              </w:sdtContent>
            </w:sdt>
          </w:p>
        </w:tc>
        <w:tc>
          <w:tcPr>
            <w:tcW w:w="5571" w:type="dxa"/>
          </w:tcPr>
          <w:p w:rsidR="0094424E" w:rsidRPr="000974D9" w:rsidRDefault="007F5365" w:rsidP="00897DAF">
            <w:pPr>
              <w:suppressLineNumbers/>
              <w:rPr>
                <w:rFonts w:ascii="Arial" w:hAnsi="Arial"/>
                <w:b/>
                <w:bCs/>
                <w:noProof w:val="0"/>
                <w:sz w:val="26"/>
                <w:szCs w:val="26"/>
                <w:rtl/>
              </w:rPr>
            </w:pPr>
            <w:r>
              <w:rPr>
                <w:rFonts w:hint="cs"/>
                <w:b/>
                <w:bCs/>
                <w:rtl/>
              </w:rPr>
              <w:t>****</w:t>
            </w:r>
          </w:p>
          <w:p w:rsidR="00CF6BB7" w:rsidRDefault="00216E60" w:rsidP="00D44968">
            <w:pPr>
              <w:suppressLineNumbers/>
              <w:rPr>
                <w:b/>
                <w:bCs/>
                <w:noProof w:val="0"/>
                <w:sz w:val="26"/>
                <w:szCs w:val="26"/>
                <w:rtl/>
              </w:rPr>
            </w:pPr>
            <w:r>
              <w:rPr>
                <w:rFonts w:hint="cs"/>
                <w:b/>
                <w:bCs/>
                <w:noProof w:val="0"/>
                <w:sz w:val="26"/>
                <w:szCs w:val="26"/>
                <w:rtl/>
              </w:rPr>
              <w:t xml:space="preserve">ע"י ב"כ </w:t>
            </w:r>
            <w:r w:rsidR="00B26566">
              <w:rPr>
                <w:rFonts w:hint="cs"/>
                <w:b/>
                <w:bCs/>
                <w:noProof w:val="0"/>
                <w:sz w:val="26"/>
                <w:szCs w:val="26"/>
                <w:rtl/>
              </w:rPr>
              <w:t xml:space="preserve">עוה"ד </w:t>
            </w:r>
            <w:r>
              <w:rPr>
                <w:rFonts w:hint="cs"/>
                <w:b/>
                <w:bCs/>
                <w:noProof w:val="0"/>
                <w:sz w:val="26"/>
                <w:szCs w:val="26"/>
                <w:rtl/>
              </w:rPr>
              <w:t>פזית שני</w:t>
            </w:r>
          </w:p>
        </w:tc>
      </w:tr>
    </w:tbl>
    <w:p w:rsidR="0094424E" w:rsidRPr="00B26566"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Default="00180519" w:rsidP="00A5009F">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A5009F" w:rsidRPr="00D44968" w:rsidRDefault="00A5009F" w:rsidP="00A5009F">
            <w:pPr>
              <w:bidi w:val="0"/>
              <w:jc w:val="center"/>
              <w:rPr>
                <w:rFonts w:ascii="Arial" w:hAnsi="Arial"/>
                <w:b/>
                <w:bCs/>
                <w:noProof w:val="0"/>
                <w:sz w:val="28"/>
                <w:szCs w:val="28"/>
                <w:u w:val="single"/>
              </w:rPr>
            </w:pPr>
          </w:p>
        </w:tc>
      </w:tr>
    </w:tbl>
    <w:p w:rsidR="00D37523" w:rsidRPr="00042328" w:rsidRDefault="00F665E8" w:rsidP="00F00AA6">
      <w:pPr>
        <w:spacing w:line="360" w:lineRule="auto"/>
        <w:ind w:left="567" w:hanging="567"/>
        <w:jc w:val="both"/>
        <w:rPr>
          <w:rFonts w:ascii="David" w:hAnsi="David"/>
          <w:rtl/>
        </w:rPr>
      </w:pPr>
      <w:bookmarkStart w:id="1" w:name="NGCSBookmark"/>
      <w:bookmarkEnd w:id="1"/>
      <w:r w:rsidRPr="00042328">
        <w:rPr>
          <w:rFonts w:ascii="David" w:hAnsi="David" w:hint="cs"/>
          <w:rtl/>
        </w:rPr>
        <w:t>1.</w:t>
      </w:r>
      <w:r w:rsidRPr="00042328">
        <w:rPr>
          <w:rFonts w:ascii="David" w:hAnsi="David"/>
          <w:rtl/>
        </w:rPr>
        <w:tab/>
      </w:r>
      <w:r w:rsidR="00D37523" w:rsidRPr="00042328">
        <w:rPr>
          <w:rFonts w:ascii="David" w:hAnsi="David"/>
          <w:rtl/>
        </w:rPr>
        <w:t>על המדוכה</w:t>
      </w:r>
      <w:r w:rsidR="00D37523" w:rsidRPr="00042328">
        <w:rPr>
          <w:rFonts w:ascii="David" w:hAnsi="David"/>
          <w:b/>
          <w:bCs/>
          <w:rtl/>
        </w:rPr>
        <w:t xml:space="preserve"> "בקשה בהולה לסעד דחוף בהתאם לתקנה לתקנה 12(א) (2) ו-(3) לתקנות להסדר התדיינויות בסכסוכי משפחה, תשע"ו-2016 להחזרת דרכונים ולהבטחת קשר " </w:t>
      </w:r>
      <w:r w:rsidR="00D37523" w:rsidRPr="00042328">
        <w:rPr>
          <w:rFonts w:ascii="David" w:hAnsi="David"/>
          <w:rtl/>
        </w:rPr>
        <w:t>(כך כותרת הבקשה)</w:t>
      </w:r>
      <w:r w:rsidR="00D37523" w:rsidRPr="00042328">
        <w:rPr>
          <w:rFonts w:ascii="David" w:hAnsi="David"/>
          <w:b/>
          <w:bCs/>
          <w:rtl/>
        </w:rPr>
        <w:t>.</w:t>
      </w:r>
    </w:p>
    <w:p w:rsidR="00F665E8" w:rsidRPr="00042328" w:rsidRDefault="00F665E8" w:rsidP="00F00AA6">
      <w:pPr>
        <w:spacing w:line="360" w:lineRule="auto"/>
        <w:ind w:left="567" w:hanging="567"/>
        <w:jc w:val="both"/>
        <w:rPr>
          <w:rFonts w:ascii="David" w:hAnsi="David"/>
          <w:rtl/>
        </w:rPr>
      </w:pPr>
    </w:p>
    <w:p w:rsidR="00F665E8" w:rsidRPr="00042328" w:rsidRDefault="00F665E8" w:rsidP="00D73D83">
      <w:pPr>
        <w:spacing w:line="360" w:lineRule="auto"/>
        <w:ind w:left="567" w:hanging="567"/>
        <w:jc w:val="both"/>
        <w:rPr>
          <w:rFonts w:ascii="David" w:hAnsi="David"/>
          <w:rtl/>
        </w:rPr>
      </w:pPr>
      <w:r w:rsidRPr="00042328">
        <w:rPr>
          <w:rFonts w:ascii="David" w:hAnsi="David" w:hint="cs"/>
          <w:rtl/>
        </w:rPr>
        <w:t>2.</w:t>
      </w:r>
      <w:r w:rsidRPr="00042328">
        <w:rPr>
          <w:rFonts w:ascii="David" w:hAnsi="David" w:hint="cs"/>
          <w:rtl/>
        </w:rPr>
        <w:tab/>
      </w:r>
      <w:r w:rsidR="00D37523" w:rsidRPr="00042328">
        <w:rPr>
          <w:rFonts w:ascii="David" w:hAnsi="David"/>
          <w:rtl/>
        </w:rPr>
        <w:t>הבקשה כרוכה אחר עתירת אם</w:t>
      </w:r>
      <w:r w:rsidR="00D73D83">
        <w:rPr>
          <w:rFonts w:ascii="David" w:hAnsi="David" w:hint="cs"/>
          <w:rtl/>
        </w:rPr>
        <w:t xml:space="preserve">, </w:t>
      </w:r>
      <w:r w:rsidR="00D73D83">
        <w:rPr>
          <w:rFonts w:ascii="David" w:hAnsi="David"/>
          <w:rtl/>
        </w:rPr>
        <w:t>להורות לא</w:t>
      </w:r>
      <w:r w:rsidR="00D73D83">
        <w:rPr>
          <w:rFonts w:ascii="David" w:hAnsi="David" w:hint="cs"/>
          <w:rtl/>
        </w:rPr>
        <w:t>ב</w:t>
      </w:r>
      <w:r w:rsidR="00D37523" w:rsidRPr="00042328">
        <w:rPr>
          <w:rFonts w:ascii="David" w:hAnsi="David"/>
          <w:rtl/>
        </w:rPr>
        <w:t xml:space="preserve"> להשיב לה את דרכוני בנותיהן הקטינות על מנת שתוכל לשוב עם הבנות ארצה. </w:t>
      </w:r>
    </w:p>
    <w:p w:rsidR="00543B6A" w:rsidRPr="00042328" w:rsidRDefault="00543B6A" w:rsidP="00F00AA6">
      <w:pPr>
        <w:spacing w:line="360" w:lineRule="auto"/>
        <w:ind w:left="567" w:hanging="567"/>
        <w:jc w:val="both"/>
        <w:rPr>
          <w:rFonts w:ascii="David" w:hAnsi="David"/>
          <w:rtl/>
        </w:rPr>
      </w:pPr>
    </w:p>
    <w:p w:rsidR="00D37523" w:rsidRPr="00042328" w:rsidRDefault="00543B6A" w:rsidP="007F5365">
      <w:pPr>
        <w:spacing w:line="360" w:lineRule="auto"/>
        <w:ind w:left="567" w:hanging="567"/>
        <w:jc w:val="both"/>
        <w:rPr>
          <w:rFonts w:ascii="David" w:hAnsi="David"/>
          <w:rtl/>
        </w:rPr>
      </w:pPr>
      <w:r w:rsidRPr="00042328">
        <w:rPr>
          <w:rFonts w:ascii="David" w:hAnsi="David" w:hint="cs"/>
          <w:rtl/>
        </w:rPr>
        <w:t>3.</w:t>
      </w:r>
      <w:r w:rsidRPr="00042328">
        <w:rPr>
          <w:rFonts w:ascii="David" w:hAnsi="David" w:hint="cs"/>
          <w:rtl/>
        </w:rPr>
        <w:tab/>
      </w:r>
      <w:r w:rsidR="00D37523" w:rsidRPr="00042328">
        <w:rPr>
          <w:rFonts w:ascii="David" w:hAnsi="David"/>
          <w:rtl/>
        </w:rPr>
        <w:t xml:space="preserve">הצדדים </w:t>
      </w:r>
      <w:r w:rsidR="000974D9">
        <w:rPr>
          <w:rFonts w:ascii="David" w:hAnsi="David"/>
          <w:rtl/>
        </w:rPr>
        <w:t xml:space="preserve">בני זוג אשר נישאו ביום </w:t>
      </w:r>
      <w:r w:rsidR="007F5365">
        <w:rPr>
          <w:rFonts w:ascii="David" w:hAnsi="David" w:hint="cs"/>
          <w:rtl/>
        </w:rPr>
        <w:t>***</w:t>
      </w:r>
      <w:r w:rsidR="00D37523" w:rsidRPr="00042328">
        <w:rPr>
          <w:rFonts w:ascii="David" w:hAnsi="David"/>
          <w:rtl/>
        </w:rPr>
        <w:t xml:space="preserve"> ולהם שלוש בנות</w:t>
      </w:r>
      <w:r w:rsidR="00E3423B">
        <w:rPr>
          <w:rFonts w:ascii="David" w:hAnsi="David" w:hint="cs"/>
          <w:rtl/>
        </w:rPr>
        <w:t xml:space="preserve"> - </w:t>
      </w:r>
      <w:r w:rsidR="00E3423B">
        <w:rPr>
          <w:rFonts w:ascii="David" w:hAnsi="David"/>
          <w:rtl/>
        </w:rPr>
        <w:t>תאומות כבנות</w:t>
      </w:r>
      <w:r w:rsidR="00E3423B">
        <w:rPr>
          <w:rFonts w:ascii="David" w:hAnsi="David" w:hint="cs"/>
          <w:rtl/>
        </w:rPr>
        <w:t xml:space="preserve"> </w:t>
      </w:r>
      <w:r w:rsidR="007F5365">
        <w:rPr>
          <w:rFonts w:ascii="David" w:hAnsi="David" w:hint="cs"/>
          <w:rtl/>
        </w:rPr>
        <w:t>**</w:t>
      </w:r>
      <w:r w:rsidR="00D37523" w:rsidRPr="00042328">
        <w:rPr>
          <w:rFonts w:ascii="David" w:hAnsi="David"/>
          <w:rtl/>
        </w:rPr>
        <w:t xml:space="preserve"> ובת נוספת כבת </w:t>
      </w:r>
      <w:r w:rsidR="007F5365">
        <w:rPr>
          <w:rFonts w:ascii="David" w:hAnsi="David" w:hint="cs"/>
          <w:rtl/>
        </w:rPr>
        <w:t>**</w:t>
      </w:r>
      <w:r w:rsidR="00D37523" w:rsidRPr="00042328">
        <w:rPr>
          <w:rFonts w:ascii="David" w:hAnsi="David"/>
          <w:rtl/>
        </w:rPr>
        <w:t xml:space="preserve"> שנים במועד </w:t>
      </w:r>
      <w:r w:rsidR="000974D9">
        <w:rPr>
          <w:rFonts w:ascii="David" w:hAnsi="David"/>
          <w:rtl/>
        </w:rPr>
        <w:t xml:space="preserve">זה. הצדדים התגוררו בקיבוץ </w:t>
      </w:r>
      <w:r w:rsidR="007F5365">
        <w:rPr>
          <w:rFonts w:ascii="David" w:hAnsi="David" w:hint="cs"/>
          <w:rtl/>
        </w:rPr>
        <w:t>***</w:t>
      </w:r>
      <w:r w:rsidR="00D37523" w:rsidRPr="00042328">
        <w:rPr>
          <w:rFonts w:ascii="David" w:hAnsi="David"/>
          <w:rtl/>
        </w:rPr>
        <w:t xml:space="preserve"> וכחודשיים לפני אירועי השבעה באוקטובר עברו להתגורר </w:t>
      </w:r>
      <w:r w:rsidR="00E3423B">
        <w:rPr>
          <w:rFonts w:ascii="David" w:hAnsi="David" w:hint="cs"/>
          <w:rtl/>
        </w:rPr>
        <w:t>בחו"ל</w:t>
      </w:r>
      <w:r w:rsidR="00D37523" w:rsidRPr="00042328">
        <w:rPr>
          <w:rFonts w:ascii="David" w:hAnsi="David"/>
          <w:rtl/>
        </w:rPr>
        <w:t>. הצדדים חלוקים בשאלה אם המדובר במעבר זמני – "רילוקיישן" (כטענת המבקשת) או הגירה (כטענת המשיב).</w:t>
      </w:r>
    </w:p>
    <w:p w:rsidR="00F665E8" w:rsidRPr="00042328" w:rsidRDefault="00F665E8" w:rsidP="00F00AA6">
      <w:pPr>
        <w:spacing w:line="360" w:lineRule="auto"/>
        <w:ind w:left="567" w:hanging="567"/>
        <w:jc w:val="both"/>
        <w:rPr>
          <w:rFonts w:ascii="David" w:hAnsi="David"/>
          <w:rtl/>
        </w:rPr>
      </w:pPr>
    </w:p>
    <w:p w:rsidR="00D37523" w:rsidRPr="00042328" w:rsidRDefault="00F665E8" w:rsidP="00E3423B">
      <w:pPr>
        <w:spacing w:line="360" w:lineRule="auto"/>
        <w:ind w:left="567" w:hanging="567"/>
        <w:jc w:val="both"/>
        <w:rPr>
          <w:rFonts w:ascii="David" w:hAnsi="David"/>
        </w:rPr>
      </w:pPr>
      <w:r w:rsidRPr="00042328">
        <w:rPr>
          <w:rFonts w:ascii="David" w:hAnsi="David" w:hint="cs"/>
          <w:rtl/>
        </w:rPr>
        <w:t>4.</w:t>
      </w:r>
      <w:r w:rsidRPr="00042328">
        <w:rPr>
          <w:rFonts w:ascii="David" w:hAnsi="David" w:hint="cs"/>
          <w:rtl/>
        </w:rPr>
        <w:tab/>
      </w:r>
      <w:r w:rsidR="00D37523" w:rsidRPr="00042328">
        <w:rPr>
          <w:rFonts w:ascii="David" w:hAnsi="David"/>
          <w:rtl/>
        </w:rPr>
        <w:t xml:space="preserve">במרוצת חודש 5/2024 יחסי הצדדים עלו על שרטון . אגב האמור ועל פי הנטען בבקשה בתמצית, המשיב הודיע לרשויות ההגירה </w:t>
      </w:r>
      <w:r w:rsidR="00E3423B">
        <w:rPr>
          <w:rFonts w:ascii="David" w:hAnsi="David" w:hint="cs"/>
          <w:rtl/>
        </w:rPr>
        <w:t>במקום מגוריהם בחו"ל</w:t>
      </w:r>
      <w:r w:rsidR="00D37523" w:rsidRPr="00042328">
        <w:rPr>
          <w:rFonts w:ascii="David" w:hAnsi="David"/>
          <w:rtl/>
        </w:rPr>
        <w:t xml:space="preserve"> כי הצדדים נפרדו </w:t>
      </w:r>
      <w:r w:rsidR="00D73D83">
        <w:rPr>
          <w:rFonts w:ascii="David" w:hAnsi="David" w:hint="cs"/>
          <w:rtl/>
        </w:rPr>
        <w:t xml:space="preserve">, הצר צעידה ביחס לרכוש המשותף והודיע על ביטול השכירות </w:t>
      </w:r>
      <w:r w:rsidR="00D37523" w:rsidRPr="00042328">
        <w:rPr>
          <w:rFonts w:ascii="David" w:hAnsi="David"/>
          <w:rtl/>
        </w:rPr>
        <w:t xml:space="preserve">ועל כן ונוכח מעשיו המכוונים המבקשת מועמדת לגירוש, אין באפשרותה לעבוד או לשכור דירה </w:t>
      </w:r>
      <w:r w:rsidR="00E3423B">
        <w:rPr>
          <w:rFonts w:ascii="David" w:hAnsi="David" w:hint="cs"/>
          <w:rtl/>
        </w:rPr>
        <w:t>במקום מגורי</w:t>
      </w:r>
      <w:r w:rsidR="00445875">
        <w:rPr>
          <w:rFonts w:ascii="David" w:hAnsi="David" w:hint="cs"/>
          <w:rtl/>
        </w:rPr>
        <w:t>ה</w:t>
      </w:r>
      <w:r w:rsidR="00E3423B">
        <w:rPr>
          <w:rFonts w:ascii="David" w:hAnsi="David" w:hint="cs"/>
          <w:rtl/>
        </w:rPr>
        <w:t>ם בחו"ל</w:t>
      </w:r>
      <w:r w:rsidR="00D37523" w:rsidRPr="00042328">
        <w:rPr>
          <w:rFonts w:ascii="David" w:hAnsi="David"/>
          <w:rtl/>
        </w:rPr>
        <w:t xml:space="preserve"> ועליה לשוב ארצה על אתר. </w:t>
      </w:r>
    </w:p>
    <w:p w:rsidR="00F665E8" w:rsidRPr="00042328" w:rsidRDefault="00F665E8" w:rsidP="00F665E8">
      <w:pPr>
        <w:pStyle w:val="ad"/>
        <w:spacing w:line="360" w:lineRule="auto"/>
        <w:ind w:left="360"/>
        <w:jc w:val="both"/>
        <w:rPr>
          <w:rFonts w:ascii="David" w:hAnsi="David"/>
          <w:rtl/>
        </w:rPr>
      </w:pPr>
    </w:p>
    <w:p w:rsidR="00D37523" w:rsidRPr="00042328" w:rsidRDefault="00D37523" w:rsidP="00E3423B">
      <w:pPr>
        <w:pStyle w:val="ad"/>
        <w:numPr>
          <w:ilvl w:val="0"/>
          <w:numId w:val="5"/>
        </w:numPr>
        <w:spacing w:line="360" w:lineRule="auto"/>
        <w:ind w:left="567" w:hanging="567"/>
        <w:jc w:val="both"/>
        <w:rPr>
          <w:rFonts w:ascii="David" w:hAnsi="David"/>
          <w:rtl/>
        </w:rPr>
      </w:pPr>
      <w:r w:rsidRPr="00042328">
        <w:rPr>
          <w:rFonts w:ascii="David" w:hAnsi="David"/>
          <w:rtl/>
        </w:rPr>
        <w:t xml:space="preserve">לטענת המשיב בתמצית, בית משפט זה נעדר  סמכות  לדון בבקשה הן מהטעם כי מקום מגורי הקבע של הצדדים </w:t>
      </w:r>
      <w:r w:rsidR="00E3423B">
        <w:rPr>
          <w:rFonts w:ascii="David" w:hAnsi="David" w:hint="cs"/>
          <w:rtl/>
        </w:rPr>
        <w:t>בחו"ל</w:t>
      </w:r>
      <w:r w:rsidRPr="00042328">
        <w:rPr>
          <w:rFonts w:ascii="David" w:hAnsi="David"/>
          <w:rtl/>
        </w:rPr>
        <w:t xml:space="preserve"> והן מהטעם כי הקדים ופנה לבית הדין הרבני בבקשה לישוב סכסוך.  עוד ולעמדת המשיב לא קיימת מניעה של ממש להסדיר אשרת השהייה של המבקשת, אך זו משיקולים זרים נמנעת מלעשות כן תוך ניסיון לקבע מצב עובדתי חדש בו הקטינות חוזרות לארץ הגם שמקום המגורים הקבוע שלהן </w:t>
      </w:r>
      <w:r w:rsidR="00E3423B">
        <w:rPr>
          <w:rFonts w:ascii="David" w:hAnsi="David" w:hint="cs"/>
          <w:rtl/>
        </w:rPr>
        <w:t>בחו"ל</w:t>
      </w:r>
      <w:r w:rsidRPr="00042328">
        <w:rPr>
          <w:rFonts w:ascii="David" w:hAnsi="David"/>
          <w:rtl/>
        </w:rPr>
        <w:t>. המשיב , כך בתגובתו נכון לסייע בידי המבקשת במימון מחצית העלות הכרוכה בהסדרת אשרת שהייה וכן לסייע בנושא הדיור.</w:t>
      </w:r>
    </w:p>
    <w:p w:rsidR="00D37523" w:rsidRPr="00042328" w:rsidRDefault="00D37523" w:rsidP="00543B6A">
      <w:pPr>
        <w:pStyle w:val="ad"/>
        <w:numPr>
          <w:ilvl w:val="0"/>
          <w:numId w:val="5"/>
        </w:numPr>
        <w:spacing w:line="360" w:lineRule="auto"/>
        <w:ind w:left="567" w:hanging="567"/>
        <w:jc w:val="both"/>
        <w:rPr>
          <w:rFonts w:ascii="Arial" w:hAnsi="Arial" w:cs="Arial"/>
          <w:rtl/>
        </w:rPr>
      </w:pPr>
      <w:r w:rsidRPr="00042328">
        <w:rPr>
          <w:rFonts w:ascii="David" w:hAnsi="David"/>
          <w:rtl/>
        </w:rPr>
        <w:lastRenderedPageBreak/>
        <w:t>הצדדים הכבירו בהעלאת טענות נוספות, בין היתר, ביחס לכישורי  ההורות של האחר וחלקו בגידול הקטינות. הצדדים מצאו לצרף מסמכים רבים גם ולרבות חוות דעת דין הזר ביחס לשאלת הגירוש הצפוי של המבקשת.</w:t>
      </w:r>
    </w:p>
    <w:p w:rsidR="00D37523" w:rsidRPr="00042328" w:rsidRDefault="00D37523" w:rsidP="00D37523">
      <w:pPr>
        <w:pStyle w:val="ad"/>
        <w:spacing w:line="360" w:lineRule="auto"/>
        <w:ind w:left="567" w:hanging="567"/>
        <w:rPr>
          <w:rFonts w:ascii="Arial" w:hAnsi="Arial" w:cs="Arial"/>
          <w:rtl/>
        </w:rPr>
      </w:pPr>
    </w:p>
    <w:p w:rsidR="00D37523" w:rsidRPr="00042328" w:rsidRDefault="00D37523" w:rsidP="00543B6A">
      <w:pPr>
        <w:pStyle w:val="ad"/>
        <w:numPr>
          <w:ilvl w:val="0"/>
          <w:numId w:val="5"/>
        </w:numPr>
        <w:spacing w:line="360" w:lineRule="auto"/>
        <w:ind w:left="567" w:hanging="567"/>
        <w:jc w:val="both"/>
        <w:rPr>
          <w:rFonts w:ascii="David" w:hAnsi="David"/>
        </w:rPr>
      </w:pPr>
      <w:r w:rsidRPr="00042328">
        <w:rPr>
          <w:rFonts w:ascii="David" w:hAnsi="David"/>
          <w:rtl/>
        </w:rPr>
        <w:t>קודם להגשת הבקשה כאן המשיב פתח הליך י"ס בבית הדין הרבני . פגישת מהו"ת ראשונה התקיימה ביום 6.10.24. הצדדים האריכו בהסכמה את תקופת עיכוב ההליכים ונקבעו פגישות מהו"ת נוספות.</w:t>
      </w:r>
    </w:p>
    <w:p w:rsidR="00D37523" w:rsidRPr="00042328" w:rsidRDefault="00D37523" w:rsidP="00543B6A">
      <w:pPr>
        <w:pStyle w:val="ad"/>
        <w:spacing w:line="360" w:lineRule="auto"/>
        <w:ind w:left="567" w:hanging="567"/>
        <w:jc w:val="both"/>
        <w:rPr>
          <w:rFonts w:ascii="Arial" w:hAnsi="Arial" w:cs="Arial"/>
        </w:rPr>
      </w:pPr>
    </w:p>
    <w:p w:rsidR="00D37523" w:rsidRPr="00042328" w:rsidRDefault="00D37523" w:rsidP="00D73D83">
      <w:pPr>
        <w:pStyle w:val="ad"/>
        <w:numPr>
          <w:ilvl w:val="0"/>
          <w:numId w:val="5"/>
        </w:numPr>
        <w:spacing w:line="360" w:lineRule="auto"/>
        <w:ind w:left="567" w:hanging="567"/>
        <w:jc w:val="both"/>
        <w:rPr>
          <w:rFonts w:ascii="Arial" w:hAnsi="Arial" w:cs="Arial"/>
          <w:rtl/>
        </w:rPr>
      </w:pPr>
      <w:r w:rsidRPr="00042328">
        <w:rPr>
          <w:rFonts w:ascii="David" w:hAnsi="David"/>
          <w:rtl/>
        </w:rPr>
        <w:t>ודוק, לאחר שעיינתי בכלל המידע הרב אשר הונח לפניי,  מצאתי כי אין מקום לברר הסעד המבוקש בגדרי הליך זה ומכח תקנה 12 לתקנות להסדר התדיינות בסכסוכי משפחה</w:t>
      </w:r>
      <w:r w:rsidR="00D73D83">
        <w:rPr>
          <w:rFonts w:ascii="David" w:hAnsi="David" w:hint="cs"/>
          <w:rtl/>
        </w:rPr>
        <w:t xml:space="preserve"> וכפועל יוצא דין הבקשה להידחות </w:t>
      </w:r>
      <w:r w:rsidRPr="00042328">
        <w:rPr>
          <w:rFonts w:ascii="David" w:hAnsi="David"/>
          <w:rtl/>
        </w:rPr>
        <w:t>.</w:t>
      </w:r>
    </w:p>
    <w:p w:rsidR="00D37523" w:rsidRPr="00042328" w:rsidRDefault="00D37523" w:rsidP="00543B6A">
      <w:pPr>
        <w:pStyle w:val="ad"/>
        <w:spacing w:line="360" w:lineRule="auto"/>
        <w:ind w:left="567" w:hanging="567"/>
        <w:rPr>
          <w:rFonts w:ascii="Arial" w:hAnsi="Arial" w:cs="Arial"/>
        </w:rPr>
      </w:pPr>
    </w:p>
    <w:p w:rsidR="00D37523" w:rsidRPr="00042328" w:rsidRDefault="00D37523" w:rsidP="007D45EC">
      <w:pPr>
        <w:pStyle w:val="ad"/>
        <w:numPr>
          <w:ilvl w:val="0"/>
          <w:numId w:val="5"/>
        </w:numPr>
        <w:spacing w:line="360" w:lineRule="auto"/>
        <w:ind w:left="567" w:hanging="567"/>
        <w:jc w:val="both"/>
        <w:rPr>
          <w:rFonts w:ascii="David" w:hAnsi="David"/>
        </w:rPr>
      </w:pPr>
      <w:r w:rsidRPr="00042328">
        <w:rPr>
          <w:rFonts w:ascii="David" w:hAnsi="David"/>
          <w:rtl/>
        </w:rPr>
        <w:t xml:space="preserve">הלכה </w:t>
      </w:r>
      <w:r w:rsidR="00D73D83">
        <w:rPr>
          <w:rFonts w:ascii="David" w:hAnsi="David" w:hint="cs"/>
          <w:rtl/>
        </w:rPr>
        <w:t>ו</w:t>
      </w:r>
      <w:r w:rsidRPr="00042328">
        <w:rPr>
          <w:rFonts w:ascii="David" w:hAnsi="David"/>
          <w:rtl/>
        </w:rPr>
        <w:t>למעשה, עתירת המבקשת על פי מהותה נוגעת לשאלה עיקרית שעניינה במקום מגורי הקבע של הקטינות, שאלה אש</w:t>
      </w:r>
      <w:r w:rsidR="007D45EC">
        <w:rPr>
          <w:rFonts w:ascii="David" w:hAnsi="David"/>
          <w:rtl/>
        </w:rPr>
        <w:t>ר מצויה בלב המחלוקת שבין הצדדים</w:t>
      </w:r>
      <w:r w:rsidR="007D45EC">
        <w:rPr>
          <w:rFonts w:ascii="David" w:hAnsi="David" w:hint="cs"/>
          <w:rtl/>
        </w:rPr>
        <w:t xml:space="preserve"> ואשר נהיר </w:t>
      </w:r>
      <w:r w:rsidRPr="00042328">
        <w:rPr>
          <w:rFonts w:ascii="David" w:hAnsi="David"/>
          <w:rtl/>
        </w:rPr>
        <w:t>כי יש ב</w:t>
      </w:r>
      <w:r w:rsidR="007D45EC">
        <w:rPr>
          <w:rFonts w:ascii="David" w:hAnsi="David" w:hint="cs"/>
          <w:rtl/>
        </w:rPr>
        <w:t>ה</w:t>
      </w:r>
      <w:r w:rsidRPr="00042328">
        <w:rPr>
          <w:rFonts w:ascii="David" w:hAnsi="David"/>
          <w:rtl/>
        </w:rPr>
        <w:t xml:space="preserve"> להשליך על היבטים רבים בחיי הקטינות והצדדים.  </w:t>
      </w:r>
    </w:p>
    <w:p w:rsidR="007D45EC" w:rsidRDefault="00543B6A" w:rsidP="00543B6A">
      <w:pPr>
        <w:pStyle w:val="ad"/>
        <w:spacing w:line="360" w:lineRule="auto"/>
        <w:ind w:left="567" w:hanging="567"/>
        <w:jc w:val="both"/>
        <w:rPr>
          <w:rFonts w:ascii="David" w:hAnsi="David"/>
          <w:rtl/>
        </w:rPr>
      </w:pPr>
      <w:r w:rsidRPr="00042328">
        <w:rPr>
          <w:rFonts w:ascii="David" w:hAnsi="David"/>
          <w:rtl/>
        </w:rPr>
        <w:tab/>
      </w:r>
    </w:p>
    <w:p w:rsidR="00D37523" w:rsidRPr="007D45EC" w:rsidRDefault="007D45EC" w:rsidP="00D73D83">
      <w:pPr>
        <w:spacing w:line="360" w:lineRule="auto"/>
        <w:ind w:left="567" w:hanging="567"/>
        <w:jc w:val="both"/>
        <w:rPr>
          <w:rFonts w:ascii="David" w:hAnsi="David"/>
        </w:rPr>
      </w:pPr>
      <w:r w:rsidRPr="007D45EC">
        <w:rPr>
          <w:rFonts w:ascii="David" w:hAnsi="David" w:hint="cs"/>
          <w:rtl/>
        </w:rPr>
        <w:t>10.</w:t>
      </w:r>
      <w:r>
        <w:rPr>
          <w:rFonts w:ascii="David" w:hAnsi="David"/>
          <w:rtl/>
        </w:rPr>
        <w:tab/>
      </w:r>
      <w:r w:rsidR="00D37523" w:rsidRPr="007D45EC">
        <w:rPr>
          <w:rFonts w:ascii="David" w:hAnsi="David"/>
          <w:rtl/>
        </w:rPr>
        <w:t xml:space="preserve">הליך של סעד דחוף לפי תקנה 12, לא נועד לברור סוגיות מורכבות </w:t>
      </w:r>
      <w:r>
        <w:rPr>
          <w:rFonts w:ascii="David" w:hAnsi="David" w:hint="cs"/>
          <w:rtl/>
        </w:rPr>
        <w:t>העוסקות</w:t>
      </w:r>
      <w:r w:rsidR="00D37523" w:rsidRPr="007D45EC">
        <w:rPr>
          <w:rFonts w:ascii="David" w:hAnsi="David"/>
          <w:rtl/>
        </w:rPr>
        <w:t xml:space="preserve"> </w:t>
      </w:r>
      <w:r>
        <w:rPr>
          <w:rFonts w:ascii="David" w:hAnsi="David" w:hint="cs"/>
          <w:rtl/>
        </w:rPr>
        <w:t>ב</w:t>
      </w:r>
      <w:r w:rsidR="00D37523" w:rsidRPr="007D45EC">
        <w:rPr>
          <w:rFonts w:ascii="David" w:hAnsi="David"/>
          <w:rtl/>
        </w:rPr>
        <w:t xml:space="preserve">שאלות כבדות משקל </w:t>
      </w:r>
      <w:r>
        <w:rPr>
          <w:rFonts w:ascii="David" w:hAnsi="David" w:hint="cs"/>
          <w:rtl/>
        </w:rPr>
        <w:t xml:space="preserve">אלה </w:t>
      </w:r>
      <w:r>
        <w:rPr>
          <w:rFonts w:ascii="David" w:hAnsi="David"/>
          <w:rtl/>
        </w:rPr>
        <w:t>על הסוגיות המשפטיות המתעוררות</w:t>
      </w:r>
      <w:r>
        <w:rPr>
          <w:rFonts w:ascii="David" w:hAnsi="David" w:hint="cs"/>
          <w:rtl/>
        </w:rPr>
        <w:t xml:space="preserve"> </w:t>
      </w:r>
      <w:r w:rsidR="00D73D83">
        <w:rPr>
          <w:rFonts w:ascii="David" w:hAnsi="David" w:hint="cs"/>
          <w:rtl/>
        </w:rPr>
        <w:t>כפי עמדת מ</w:t>
      </w:r>
      <w:r>
        <w:rPr>
          <w:rFonts w:ascii="David" w:hAnsi="David" w:hint="cs"/>
          <w:rtl/>
        </w:rPr>
        <w:t xml:space="preserve">י מהצדדים </w:t>
      </w:r>
      <w:r w:rsidR="00D37523" w:rsidRPr="007D45EC">
        <w:rPr>
          <w:rFonts w:ascii="David" w:hAnsi="David"/>
          <w:rtl/>
        </w:rPr>
        <w:t xml:space="preserve">ובכללן- פורום נאות, סמכות בינלאומית, סמכות עניינית </w:t>
      </w:r>
      <w:r>
        <w:rPr>
          <w:rFonts w:ascii="David" w:hAnsi="David" w:hint="cs"/>
          <w:rtl/>
        </w:rPr>
        <w:t>.</w:t>
      </w:r>
    </w:p>
    <w:p w:rsidR="00D37523" w:rsidRPr="00042328" w:rsidRDefault="00D37523" w:rsidP="00543B6A">
      <w:pPr>
        <w:pStyle w:val="ad"/>
        <w:spacing w:line="360" w:lineRule="auto"/>
        <w:ind w:left="567" w:hanging="567"/>
        <w:jc w:val="both"/>
        <w:rPr>
          <w:rFonts w:ascii="Calibri" w:hAnsi="Calibri" w:cs="Calibri"/>
          <w:rtl/>
        </w:rPr>
      </w:pPr>
    </w:p>
    <w:p w:rsidR="00D37523" w:rsidRPr="00042328" w:rsidRDefault="007D45EC" w:rsidP="001C333E">
      <w:pPr>
        <w:pStyle w:val="ad"/>
        <w:spacing w:line="360" w:lineRule="auto"/>
        <w:ind w:left="567" w:hanging="567"/>
        <w:jc w:val="both"/>
        <w:rPr>
          <w:rFonts w:ascii="Arial" w:hAnsi="Arial" w:cs="Arial"/>
          <w:rtl/>
        </w:rPr>
      </w:pPr>
      <w:r>
        <w:rPr>
          <w:rFonts w:ascii="David" w:hAnsi="David" w:hint="cs"/>
          <w:rtl/>
        </w:rPr>
        <w:t>11</w:t>
      </w:r>
      <w:r w:rsidR="00D37523" w:rsidRPr="00042328">
        <w:rPr>
          <w:rFonts w:ascii="David" w:hAnsi="David"/>
          <w:rtl/>
        </w:rPr>
        <w:t>.    </w:t>
      </w:r>
      <w:r w:rsidR="00BD1C0C" w:rsidRPr="00042328">
        <w:rPr>
          <w:rFonts w:ascii="David" w:hAnsi="David"/>
          <w:rtl/>
        </w:rPr>
        <w:tab/>
      </w:r>
      <w:r w:rsidR="001C333E">
        <w:rPr>
          <w:rFonts w:ascii="David" w:hAnsi="David" w:hint="cs"/>
          <w:rtl/>
        </w:rPr>
        <w:t xml:space="preserve">ממילא </w:t>
      </w:r>
      <w:r w:rsidR="00D37523" w:rsidRPr="00042328">
        <w:rPr>
          <w:rFonts w:ascii="David" w:hAnsi="David"/>
          <w:rtl/>
        </w:rPr>
        <w:t>גם אין בידי לקבוע במסגרת זו כל ממצא בשאלה הנוגעת למקום מגורי הקבע של הקטינות או לשאלות הנוגעות לסמכותם של איזה מהטריבונלים השיפוטיים להידרש לסכסוך המשפחתי.</w:t>
      </w:r>
    </w:p>
    <w:p w:rsidR="00D37523" w:rsidRPr="00042328" w:rsidRDefault="00543B6A" w:rsidP="00D73D83">
      <w:pPr>
        <w:spacing w:line="360" w:lineRule="auto"/>
        <w:ind w:left="567" w:hanging="567"/>
        <w:jc w:val="both"/>
        <w:rPr>
          <w:rFonts w:ascii="David" w:hAnsi="David"/>
        </w:rPr>
      </w:pPr>
      <w:r w:rsidRPr="00042328">
        <w:rPr>
          <w:rFonts w:ascii="David" w:hAnsi="David"/>
          <w:rtl/>
        </w:rPr>
        <w:tab/>
      </w:r>
      <w:r w:rsidR="00D37523" w:rsidRPr="00042328">
        <w:rPr>
          <w:rFonts w:ascii="David" w:hAnsi="David"/>
          <w:rtl/>
        </w:rPr>
        <w:t>וא</w:t>
      </w:r>
      <w:r w:rsidR="00EC573A">
        <w:rPr>
          <w:rFonts w:ascii="David" w:hAnsi="David" w:hint="cs"/>
          <w:rtl/>
        </w:rPr>
        <w:t>מנם</w:t>
      </w:r>
      <w:r w:rsidR="00D37523" w:rsidRPr="00042328">
        <w:rPr>
          <w:rFonts w:ascii="David" w:hAnsi="David"/>
          <w:rtl/>
        </w:rPr>
        <w:t xml:space="preserve">, מתן הסעד המבוקש בנסיבות שלפניי, כמוהו כהכרעה בשאלה </w:t>
      </w:r>
      <w:r w:rsidR="00EC573A">
        <w:rPr>
          <w:rFonts w:ascii="David" w:hAnsi="David" w:hint="cs"/>
          <w:rtl/>
        </w:rPr>
        <w:t>ה</w:t>
      </w:r>
      <w:r w:rsidR="00D73D83">
        <w:rPr>
          <w:rFonts w:ascii="David" w:hAnsi="David" w:hint="cs"/>
          <w:rtl/>
        </w:rPr>
        <w:t>עיקרי</w:t>
      </w:r>
      <w:r w:rsidR="00D37523" w:rsidRPr="00042328">
        <w:rPr>
          <w:rFonts w:ascii="David" w:hAnsi="David"/>
          <w:rtl/>
        </w:rPr>
        <w:t xml:space="preserve">ת של מקום מגורי הקטינות, עניין, </w:t>
      </w:r>
      <w:r w:rsidR="00042328">
        <w:rPr>
          <w:rFonts w:ascii="David" w:hAnsi="David" w:hint="cs"/>
          <w:rtl/>
        </w:rPr>
        <w:t>שיש לברר במסגרת</w:t>
      </w:r>
      <w:r w:rsidR="00D37523" w:rsidRPr="00042328">
        <w:rPr>
          <w:rFonts w:ascii="David" w:hAnsi="David"/>
          <w:rtl/>
        </w:rPr>
        <w:t xml:space="preserve"> הליך מתאים ולפני הערכאה המוסמכת. </w:t>
      </w:r>
    </w:p>
    <w:p w:rsidR="00D37523" w:rsidRPr="00042328" w:rsidRDefault="00D37523" w:rsidP="00543B6A">
      <w:pPr>
        <w:pStyle w:val="ad"/>
        <w:spacing w:line="360" w:lineRule="auto"/>
        <w:ind w:left="567" w:hanging="567"/>
        <w:jc w:val="both"/>
        <w:rPr>
          <w:rFonts w:ascii="Arial" w:hAnsi="Arial" w:cs="Arial"/>
        </w:rPr>
      </w:pPr>
    </w:p>
    <w:p w:rsidR="001C333E" w:rsidRPr="001C333E" w:rsidRDefault="00D37523" w:rsidP="001C333E">
      <w:pPr>
        <w:pStyle w:val="ad"/>
        <w:numPr>
          <w:ilvl w:val="0"/>
          <w:numId w:val="7"/>
        </w:numPr>
        <w:spacing w:line="360" w:lineRule="auto"/>
        <w:ind w:left="567" w:hanging="567"/>
        <w:jc w:val="both"/>
        <w:rPr>
          <w:rFonts w:ascii="Arial" w:hAnsi="Arial" w:cs="Arial"/>
        </w:rPr>
      </w:pPr>
      <w:r w:rsidRPr="000A59A1">
        <w:rPr>
          <w:rFonts w:ascii="David" w:hAnsi="David"/>
          <w:rtl/>
        </w:rPr>
        <w:t>אף לגופם של דברים, המסכת העובדתית המפורטת מלמדני</w:t>
      </w:r>
      <w:r w:rsidR="00D73D83">
        <w:rPr>
          <w:rFonts w:ascii="David" w:hAnsi="David" w:hint="cs"/>
          <w:rtl/>
        </w:rPr>
        <w:t>,</w:t>
      </w:r>
      <w:r w:rsidRPr="000A59A1">
        <w:rPr>
          <w:rFonts w:ascii="David" w:hAnsi="David"/>
          <w:rtl/>
        </w:rPr>
        <w:t xml:space="preserve"> כי </w:t>
      </w:r>
      <w:r w:rsidR="002D1A01" w:rsidRPr="000A59A1">
        <w:rPr>
          <w:rFonts w:ascii="David" w:hAnsi="David"/>
          <w:rtl/>
        </w:rPr>
        <w:t xml:space="preserve">אין המדובר בסעד העוסק </w:t>
      </w:r>
      <w:r w:rsidRPr="000A59A1">
        <w:rPr>
          <w:rFonts w:ascii="David" w:hAnsi="David"/>
          <w:rtl/>
        </w:rPr>
        <w:t xml:space="preserve"> </w:t>
      </w:r>
      <w:r w:rsidR="001C333E">
        <w:rPr>
          <w:rFonts w:ascii="David" w:hAnsi="David" w:hint="cs"/>
          <w:rtl/>
        </w:rPr>
        <w:t xml:space="preserve">באופן ישיר </w:t>
      </w:r>
      <w:r w:rsidRPr="000A59A1">
        <w:rPr>
          <w:rFonts w:ascii="David" w:hAnsi="David"/>
          <w:rtl/>
        </w:rPr>
        <w:t xml:space="preserve">בהבטחת קשר </w:t>
      </w:r>
      <w:r w:rsidR="002D1A01" w:rsidRPr="000A59A1">
        <w:rPr>
          <w:rFonts w:ascii="David" w:hAnsi="David" w:hint="cs"/>
          <w:rtl/>
        </w:rPr>
        <w:t>ש</w:t>
      </w:r>
      <w:r w:rsidRPr="000A59A1">
        <w:rPr>
          <w:rFonts w:ascii="David" w:hAnsi="David"/>
          <w:rtl/>
        </w:rPr>
        <w:t>בין</w:t>
      </w:r>
      <w:r w:rsidR="002D1A01" w:rsidRPr="000A59A1">
        <w:rPr>
          <w:rFonts w:ascii="David" w:hAnsi="David" w:hint="cs"/>
          <w:rtl/>
        </w:rPr>
        <w:t xml:space="preserve"> קטין למי מהוריו</w:t>
      </w:r>
      <w:r w:rsidR="001C333E">
        <w:rPr>
          <w:rFonts w:ascii="David" w:hAnsi="David" w:hint="cs"/>
          <w:rtl/>
        </w:rPr>
        <w:t xml:space="preserve"> בראי תקנה 12 (3) הנזכרת. כאמור עניין לנו  </w:t>
      </w:r>
      <w:r w:rsidR="002D1A01" w:rsidRPr="000A59A1">
        <w:rPr>
          <w:rFonts w:ascii="David" w:hAnsi="David" w:hint="cs"/>
          <w:rtl/>
        </w:rPr>
        <w:t>בשאלה הנוגעת ל</w:t>
      </w:r>
      <w:r w:rsidR="00D73D83">
        <w:rPr>
          <w:rFonts w:ascii="David" w:hAnsi="David" w:hint="cs"/>
          <w:rtl/>
        </w:rPr>
        <w:t xml:space="preserve">הסדרת מקום המגורים של הקטינות  כמו גם </w:t>
      </w:r>
      <w:r w:rsidR="001C333E">
        <w:rPr>
          <w:rFonts w:ascii="David" w:hAnsi="David" w:hint="cs"/>
          <w:rtl/>
        </w:rPr>
        <w:t>בשאלות הנוגעות ל</w:t>
      </w:r>
      <w:r w:rsidR="00606F58">
        <w:rPr>
          <w:rFonts w:ascii="David" w:hAnsi="David" w:hint="cs"/>
          <w:rtl/>
        </w:rPr>
        <w:t>ה</w:t>
      </w:r>
      <w:r w:rsidR="001C333E">
        <w:rPr>
          <w:rFonts w:ascii="David" w:hAnsi="David" w:hint="cs"/>
          <w:rtl/>
        </w:rPr>
        <w:t>סדרת מעמד</w:t>
      </w:r>
      <w:r w:rsidR="002D1A01" w:rsidRPr="000A59A1">
        <w:rPr>
          <w:rFonts w:ascii="David" w:hAnsi="David" w:hint="cs"/>
          <w:rtl/>
        </w:rPr>
        <w:t xml:space="preserve">. </w:t>
      </w:r>
    </w:p>
    <w:p w:rsidR="002D1A01" w:rsidRDefault="001C333E" w:rsidP="002C1A9B">
      <w:pPr>
        <w:pStyle w:val="ad"/>
        <w:spacing w:line="360" w:lineRule="auto"/>
        <w:ind w:left="567"/>
        <w:jc w:val="both"/>
        <w:rPr>
          <w:rFonts w:ascii="Arial" w:hAnsi="Arial" w:cs="Arial"/>
          <w:rtl/>
        </w:rPr>
      </w:pPr>
      <w:r>
        <w:rPr>
          <w:rFonts w:ascii="David" w:hAnsi="David" w:hint="cs"/>
          <w:rtl/>
        </w:rPr>
        <w:t xml:space="preserve">אף הייתי סבורה כי </w:t>
      </w:r>
      <w:r w:rsidR="00606F58">
        <w:rPr>
          <w:rFonts w:ascii="David" w:hAnsi="David" w:hint="cs"/>
          <w:rtl/>
        </w:rPr>
        <w:t xml:space="preserve">בנסיבות שלפניי </w:t>
      </w:r>
      <w:r>
        <w:rPr>
          <w:rFonts w:ascii="David" w:hAnsi="David" w:hint="cs"/>
          <w:rtl/>
        </w:rPr>
        <w:t>יש מקום לברר</w:t>
      </w:r>
      <w:r w:rsidR="002C1A9B">
        <w:rPr>
          <w:rFonts w:ascii="David" w:hAnsi="David" w:hint="cs"/>
          <w:rtl/>
        </w:rPr>
        <w:t xml:space="preserve"> הסוגיה </w:t>
      </w:r>
      <w:r>
        <w:rPr>
          <w:rFonts w:ascii="David" w:hAnsi="David" w:hint="cs"/>
          <w:rtl/>
        </w:rPr>
        <w:t>בראי התקנה הנזכרת</w:t>
      </w:r>
      <w:r w:rsidR="002C1A9B">
        <w:rPr>
          <w:rFonts w:ascii="David" w:hAnsi="David" w:hint="cs"/>
          <w:rtl/>
        </w:rPr>
        <w:t xml:space="preserve"> (ואיני סבורה שכך) הרי ש</w:t>
      </w:r>
      <w:r w:rsidR="00D37523" w:rsidRPr="000A59A1">
        <w:rPr>
          <w:rFonts w:ascii="David" w:hAnsi="David"/>
          <w:rtl/>
        </w:rPr>
        <w:t xml:space="preserve">מקום בו לגרסת המבקשת הצדדים לוקחים בימים אלה  חלק פעיל בהליך ישוב </w:t>
      </w:r>
      <w:r w:rsidR="00D37523" w:rsidRPr="000A59A1">
        <w:rPr>
          <w:rFonts w:ascii="David" w:hAnsi="David"/>
          <w:rtl/>
        </w:rPr>
        <w:lastRenderedPageBreak/>
        <w:t xml:space="preserve">הסכסוך ביחידת הסיוע של בית הדין הרבני אין לומר כי עסקינן במקרה בו המתנה לפגישת המהו"ת הראשונה תגרום נזק של ממש לצדדים או ילדיהם כלשון </w:t>
      </w:r>
      <w:r w:rsidR="002C1A9B">
        <w:rPr>
          <w:rFonts w:ascii="David" w:hAnsi="David" w:hint="cs"/>
          <w:rtl/>
        </w:rPr>
        <w:t>ה</w:t>
      </w:r>
      <w:r w:rsidR="00D37523" w:rsidRPr="000A59A1">
        <w:rPr>
          <w:rFonts w:ascii="David" w:hAnsi="David"/>
          <w:rtl/>
        </w:rPr>
        <w:t>תקנה.</w:t>
      </w:r>
    </w:p>
    <w:p w:rsidR="002C1A9B" w:rsidRPr="000A59A1" w:rsidRDefault="002C1A9B" w:rsidP="002C1A9B">
      <w:pPr>
        <w:pStyle w:val="ad"/>
        <w:spacing w:line="360" w:lineRule="auto"/>
        <w:ind w:left="567"/>
        <w:jc w:val="both"/>
        <w:rPr>
          <w:rFonts w:ascii="Arial" w:hAnsi="Arial" w:cs="Arial"/>
        </w:rPr>
      </w:pPr>
    </w:p>
    <w:p w:rsidR="00EC573A" w:rsidRDefault="00D37523" w:rsidP="002C1A9B">
      <w:pPr>
        <w:pStyle w:val="ad"/>
        <w:numPr>
          <w:ilvl w:val="0"/>
          <w:numId w:val="7"/>
        </w:numPr>
        <w:spacing w:line="360" w:lineRule="auto"/>
        <w:ind w:left="567" w:hanging="567"/>
        <w:jc w:val="both"/>
        <w:rPr>
          <w:rFonts w:ascii="Arial" w:hAnsi="Arial" w:cs="Arial"/>
        </w:rPr>
      </w:pPr>
      <w:r w:rsidRPr="009A15B4">
        <w:rPr>
          <w:rFonts w:ascii="David" w:hAnsi="David"/>
          <w:rtl/>
        </w:rPr>
        <w:t>גם אין לומר כי המדו</w:t>
      </w:r>
      <w:r w:rsidR="009A15B4" w:rsidRPr="009A15B4">
        <w:rPr>
          <w:rFonts w:ascii="David" w:hAnsi="David"/>
          <w:rtl/>
        </w:rPr>
        <w:t>בר ב</w:t>
      </w:r>
      <w:r w:rsidR="009A15B4" w:rsidRPr="009A15B4">
        <w:rPr>
          <w:rFonts w:ascii="David" w:hAnsi="David" w:hint="cs"/>
          <w:rtl/>
        </w:rPr>
        <w:t xml:space="preserve">הנפקת דרכון  או אישור </w:t>
      </w:r>
      <w:r w:rsidRPr="009A15B4">
        <w:rPr>
          <w:rFonts w:ascii="David" w:hAnsi="David"/>
          <w:rtl/>
        </w:rPr>
        <w:t xml:space="preserve">יציאתן של הקטינות לחו"ל באופן זמני </w:t>
      </w:r>
      <w:r w:rsidR="009A15B4" w:rsidRPr="009A15B4">
        <w:rPr>
          <w:rFonts w:ascii="David" w:hAnsi="David" w:hint="cs"/>
          <w:rtl/>
        </w:rPr>
        <w:t>ואף לא ב</w:t>
      </w:r>
      <w:r w:rsidR="002C1A9B">
        <w:rPr>
          <w:rFonts w:ascii="David" w:hAnsi="David" w:hint="cs"/>
          <w:rtl/>
        </w:rPr>
        <w:t>יצי</w:t>
      </w:r>
      <w:r w:rsidR="009A15B4" w:rsidRPr="009A15B4">
        <w:rPr>
          <w:rFonts w:ascii="David" w:hAnsi="David" w:hint="cs"/>
          <w:rtl/>
        </w:rPr>
        <w:t xml:space="preserve">אתן </w:t>
      </w:r>
      <w:r w:rsidRPr="009A15B4">
        <w:rPr>
          <w:rFonts w:ascii="David" w:hAnsi="David"/>
          <w:rtl/>
        </w:rPr>
        <w:t xml:space="preserve">לפעילות חינוכית קבוצתית </w:t>
      </w:r>
      <w:r w:rsidR="002C1A9B">
        <w:rPr>
          <w:rFonts w:ascii="David" w:hAnsi="David" w:hint="cs"/>
          <w:rtl/>
        </w:rPr>
        <w:t>או לצורך</w:t>
      </w:r>
      <w:r w:rsidR="002C1A9B">
        <w:rPr>
          <w:rFonts w:ascii="David" w:hAnsi="David"/>
          <w:rtl/>
        </w:rPr>
        <w:t xml:space="preserve"> שלא היה צפוי קודם</w:t>
      </w:r>
      <w:r w:rsidRPr="009A15B4">
        <w:rPr>
          <w:rFonts w:ascii="David" w:hAnsi="David"/>
          <w:rtl/>
        </w:rPr>
        <w:t xml:space="preserve"> כמפורט בתקנה 12(2)</w:t>
      </w:r>
      <w:r w:rsidR="009A15B4" w:rsidRPr="009A15B4">
        <w:rPr>
          <w:rFonts w:ascii="David" w:hAnsi="David" w:hint="cs"/>
          <w:rtl/>
        </w:rPr>
        <w:t xml:space="preserve">.  </w:t>
      </w:r>
      <w:r w:rsidR="009A15B4">
        <w:rPr>
          <w:rFonts w:ascii="David" w:hAnsi="David" w:hint="cs"/>
          <w:rtl/>
        </w:rPr>
        <w:t>המדובר למעשה בבקשה להש</w:t>
      </w:r>
      <w:r w:rsidR="009A15B4" w:rsidRPr="009A15B4">
        <w:rPr>
          <w:rFonts w:ascii="David" w:hAnsi="David" w:hint="cs"/>
          <w:rtl/>
        </w:rPr>
        <w:t xml:space="preserve">בתן של הקטינות לארץ </w:t>
      </w:r>
      <w:r w:rsidR="00606F58">
        <w:rPr>
          <w:rFonts w:ascii="David" w:hAnsi="David" w:hint="cs"/>
          <w:rtl/>
        </w:rPr>
        <w:t xml:space="preserve">ומשכך אין תכולה להוראת תקנה זו על </w:t>
      </w:r>
      <w:r w:rsidR="009A15B4" w:rsidRPr="009A15B4">
        <w:rPr>
          <w:rFonts w:ascii="David" w:hAnsi="David" w:hint="cs"/>
          <w:rtl/>
        </w:rPr>
        <w:t xml:space="preserve">עניניינו. </w:t>
      </w:r>
    </w:p>
    <w:p w:rsidR="009A15B4" w:rsidRPr="009A15B4" w:rsidRDefault="009A15B4" w:rsidP="009A15B4">
      <w:pPr>
        <w:pStyle w:val="ad"/>
        <w:spacing w:line="360" w:lineRule="auto"/>
        <w:ind w:left="567"/>
        <w:jc w:val="both"/>
        <w:rPr>
          <w:rFonts w:ascii="Arial" w:hAnsi="Arial" w:cs="Arial"/>
          <w:rtl/>
        </w:rPr>
      </w:pPr>
    </w:p>
    <w:p w:rsidR="00D37523" w:rsidRPr="00042328" w:rsidRDefault="00D37523" w:rsidP="000A59A1">
      <w:pPr>
        <w:pStyle w:val="ad"/>
        <w:numPr>
          <w:ilvl w:val="0"/>
          <w:numId w:val="7"/>
        </w:numPr>
        <w:spacing w:line="360" w:lineRule="auto"/>
        <w:ind w:left="567" w:hanging="567"/>
        <w:jc w:val="both"/>
        <w:rPr>
          <w:rFonts w:ascii="David" w:hAnsi="David"/>
          <w:b/>
          <w:bCs/>
        </w:rPr>
      </w:pPr>
      <w:r w:rsidRPr="00042328">
        <w:rPr>
          <w:rFonts w:ascii="David" w:hAnsi="David"/>
          <w:rtl/>
        </w:rPr>
        <w:t>זאת ועוד, מטרת החוק להסדר התדיינויות בסכסוכי משפחה כפי שקבע המחוקק בס'1  לחוק היא "</w:t>
      </w:r>
      <w:r w:rsidRPr="00042328">
        <w:rPr>
          <w:rFonts w:ascii="David" w:hAnsi="David"/>
          <w:b/>
          <w:bCs/>
          <w:rtl/>
        </w:rPr>
        <w:t xml:space="preserve">לסייע לבני זוג להורים וילדיהם ליישב סכסוך משפחתי בניהם בהסכמה ובדרכי שלום ולצמצם את הצורך בהתדיינות משפטית מתוך התחשבות במכלול ההיבטים הנוגעים לסכסוך ובטובתם של כל ילד ולילדה". </w:t>
      </w:r>
    </w:p>
    <w:p w:rsidR="00D37523" w:rsidRPr="00042328" w:rsidRDefault="00D37523" w:rsidP="00BD1C0C">
      <w:pPr>
        <w:pStyle w:val="ad"/>
        <w:ind w:left="567" w:hanging="567"/>
        <w:rPr>
          <w:rFonts w:ascii="Arial" w:hAnsi="Arial" w:cs="Arial"/>
          <w:b/>
          <w:bCs/>
          <w:rtl/>
        </w:rPr>
      </w:pPr>
    </w:p>
    <w:p w:rsidR="00D37523" w:rsidRPr="00042328" w:rsidRDefault="00D37523" w:rsidP="000A59A1">
      <w:pPr>
        <w:pStyle w:val="ad"/>
        <w:numPr>
          <w:ilvl w:val="0"/>
          <w:numId w:val="7"/>
        </w:numPr>
        <w:spacing w:line="360" w:lineRule="auto"/>
        <w:ind w:left="567" w:hanging="567"/>
        <w:jc w:val="both"/>
        <w:rPr>
          <w:rFonts w:ascii="David" w:hAnsi="David"/>
          <w:b/>
          <w:bCs/>
          <w:rtl/>
        </w:rPr>
      </w:pPr>
      <w:r w:rsidRPr="00042328">
        <w:rPr>
          <w:rFonts w:ascii="David" w:hAnsi="David"/>
          <w:rtl/>
        </w:rPr>
        <w:t xml:space="preserve">לצד הגנה על תכלית החוק האמורה המחוקק קבע </w:t>
      </w:r>
      <w:r w:rsidRPr="00042328">
        <w:rPr>
          <w:rFonts w:ascii="David" w:hAnsi="David"/>
          <w:color w:val="000000"/>
          <w:shd w:val="clear" w:color="auto" w:fill="FFFFFF"/>
        </w:rPr>
        <w:t> </w:t>
      </w:r>
      <w:r w:rsidRPr="00042328">
        <w:rPr>
          <w:rFonts w:ascii="David" w:hAnsi="David"/>
          <w:color w:val="000000"/>
          <w:shd w:val="clear" w:color="auto" w:fill="FFFFFF"/>
          <w:rtl/>
        </w:rPr>
        <w:t>שורה של עניינים ספציפיים, המהווים רשימה סגורה המנויים בתקנה 12(א) </w:t>
      </w:r>
      <w:r w:rsidRPr="00042328">
        <w:rPr>
          <w:rFonts w:ascii="David" w:hAnsi="David"/>
          <w:color w:val="000000"/>
          <w:shd w:val="clear" w:color="auto" w:fill="FFFFFF"/>
        </w:rPr>
        <w:t> </w:t>
      </w:r>
      <w:r w:rsidR="002C1A9B">
        <w:rPr>
          <w:rFonts w:ascii="David" w:hAnsi="David"/>
          <w:color w:val="000000"/>
          <w:shd w:val="clear" w:color="auto" w:fill="FFFFFF"/>
          <w:rtl/>
        </w:rPr>
        <w:t xml:space="preserve">לתקנות, לגביהם רשאי כל אחד </w:t>
      </w:r>
      <w:r w:rsidR="002C1A9B">
        <w:rPr>
          <w:rFonts w:ascii="David" w:hAnsi="David" w:hint="cs"/>
          <w:color w:val="000000"/>
          <w:shd w:val="clear" w:color="auto" w:fill="FFFFFF"/>
          <w:rtl/>
        </w:rPr>
        <w:t>מה</w:t>
      </w:r>
      <w:r w:rsidRPr="00042328">
        <w:rPr>
          <w:rFonts w:ascii="David" w:hAnsi="David"/>
          <w:color w:val="000000"/>
          <w:shd w:val="clear" w:color="auto" w:fill="FFFFFF"/>
          <w:rtl/>
        </w:rPr>
        <w:t>צדדים לעתור לקבלת סעד זמני, תוך עמידה בדרישות הדין. "</w:t>
      </w:r>
      <w:r w:rsidRPr="00042328">
        <w:rPr>
          <w:rFonts w:ascii="David" w:hAnsi="David"/>
          <w:b/>
          <w:bCs/>
          <w:color w:val="000000"/>
          <w:shd w:val="clear" w:color="auto" w:fill="FFFFFF"/>
          <w:rtl/>
        </w:rPr>
        <w:t>בכך ביקש גם המחוקק למנוע מצב שבו הדיון בבקשה לסעדים זמניים ודחופים יהפוך לזירה העיקרית לבירור הסכסוך והטענות שיעלו הצדדים האחד כנגד משנהו בכתבי הטענות שלהם ובמסגרת הדיון בה, ויסכלו האפשרות לקיים במקביל הליך ליישוב הסכסוך בדרכי</w:t>
      </w:r>
      <w:r w:rsidRPr="00042328">
        <w:rPr>
          <w:rFonts w:ascii="David" w:hAnsi="David"/>
          <w:color w:val="000000"/>
          <w:shd w:val="clear" w:color="auto" w:fill="FFFFFF"/>
          <w:rtl/>
        </w:rPr>
        <w:t xml:space="preserve"> </w:t>
      </w:r>
      <w:r w:rsidRPr="00042328">
        <w:rPr>
          <w:rFonts w:ascii="David" w:hAnsi="David"/>
          <w:b/>
          <w:bCs/>
          <w:shd w:val="clear" w:color="auto" w:fill="FFFFFF"/>
          <w:rtl/>
        </w:rPr>
        <w:t>שלום</w:t>
      </w:r>
      <w:r w:rsidRPr="00042328">
        <w:rPr>
          <w:rFonts w:ascii="David" w:hAnsi="David"/>
          <w:color w:val="000000"/>
          <w:shd w:val="clear" w:color="auto" w:fill="FFFFFF"/>
          <w:rtl/>
        </w:rPr>
        <w:t>"</w:t>
      </w:r>
      <w:r w:rsidRPr="00042328">
        <w:rPr>
          <w:rFonts w:ascii="David" w:hAnsi="David"/>
          <w:rtl/>
        </w:rPr>
        <w:t xml:space="preserve"> (ר' רמ"ש 35397-09-23 </w:t>
      </w:r>
      <w:r w:rsidRPr="00042328">
        <w:rPr>
          <w:rFonts w:ascii="David" w:hAnsi="David"/>
          <w:b/>
          <w:bCs/>
          <w:rtl/>
        </w:rPr>
        <w:t xml:space="preserve">פלונית נ' פלוני </w:t>
      </w:r>
      <w:r w:rsidRPr="00042328">
        <w:rPr>
          <w:rFonts w:ascii="David" w:hAnsi="David"/>
          <w:rtl/>
        </w:rPr>
        <w:t>מיום 28.11.23- פורסם בנבו).</w:t>
      </w:r>
    </w:p>
    <w:p w:rsidR="00D37523" w:rsidRPr="00042328" w:rsidRDefault="00D37523" w:rsidP="00BD1C0C">
      <w:pPr>
        <w:pStyle w:val="ad"/>
        <w:ind w:left="567" w:hanging="567"/>
        <w:rPr>
          <w:rFonts w:ascii="Arial" w:hAnsi="Arial" w:cs="Arial"/>
          <w:b/>
          <w:bCs/>
        </w:rPr>
      </w:pPr>
    </w:p>
    <w:p w:rsidR="000A59A1" w:rsidRDefault="00D37523" w:rsidP="00606F58">
      <w:pPr>
        <w:pStyle w:val="ad"/>
        <w:numPr>
          <w:ilvl w:val="0"/>
          <w:numId w:val="7"/>
        </w:numPr>
        <w:spacing w:line="360" w:lineRule="auto"/>
        <w:ind w:left="567" w:hanging="567"/>
        <w:jc w:val="both"/>
        <w:rPr>
          <w:rFonts w:ascii="David" w:hAnsi="David"/>
        </w:rPr>
      </w:pPr>
      <w:r w:rsidRPr="002574C3">
        <w:rPr>
          <w:rFonts w:ascii="David" w:hAnsi="David"/>
          <w:rtl/>
        </w:rPr>
        <w:t xml:space="preserve">הסעד המבוקש בנדוננו לא רק שאינו עונה על דרישות הדין הן במהות והן בצורה, אלה שהוא עומד בסתירה לתכלית זו שביקש המחוקק להבטיח שעה שניתן להניח כי מתן </w:t>
      </w:r>
      <w:r w:rsidR="00EC573A" w:rsidRPr="002574C3">
        <w:rPr>
          <w:rFonts w:ascii="David" w:hAnsi="David" w:hint="cs"/>
          <w:rtl/>
        </w:rPr>
        <w:t>הסעד</w:t>
      </w:r>
      <w:r w:rsidRPr="002574C3">
        <w:rPr>
          <w:rFonts w:ascii="David" w:hAnsi="David"/>
          <w:rtl/>
        </w:rPr>
        <w:t xml:space="preserve"> אך יחמיר המחלוקת ויעצים אותה </w:t>
      </w:r>
      <w:r w:rsidR="00F00AA6" w:rsidRPr="002574C3">
        <w:rPr>
          <w:rFonts w:ascii="David" w:hAnsi="David"/>
          <w:rtl/>
        </w:rPr>
        <w:t xml:space="preserve">ובכך יסכל קיומו של דיון ענייני </w:t>
      </w:r>
      <w:r w:rsidRPr="002574C3">
        <w:rPr>
          <w:rFonts w:ascii="David" w:hAnsi="David"/>
          <w:rtl/>
        </w:rPr>
        <w:t xml:space="preserve">בדרכי </w:t>
      </w:r>
      <w:r w:rsidR="00042328" w:rsidRPr="002574C3">
        <w:rPr>
          <w:rFonts w:ascii="David" w:hAnsi="David"/>
          <w:rtl/>
        </w:rPr>
        <w:t xml:space="preserve">שלום , </w:t>
      </w:r>
      <w:r w:rsidR="00F00AA6" w:rsidRPr="002574C3">
        <w:rPr>
          <w:rFonts w:ascii="David" w:hAnsi="David" w:hint="cs"/>
          <w:rtl/>
        </w:rPr>
        <w:t>במשנה תוקף כאשר</w:t>
      </w:r>
      <w:r w:rsidRPr="002574C3">
        <w:rPr>
          <w:rFonts w:ascii="David" w:hAnsi="David"/>
          <w:rtl/>
        </w:rPr>
        <w:t xml:space="preserve"> הצדדים</w:t>
      </w:r>
      <w:r w:rsidR="00F00AA6" w:rsidRPr="002574C3">
        <w:rPr>
          <w:rFonts w:ascii="David" w:hAnsi="David" w:hint="cs"/>
          <w:rtl/>
        </w:rPr>
        <w:t xml:space="preserve"> </w:t>
      </w:r>
      <w:r w:rsidRPr="002574C3">
        <w:rPr>
          <w:rFonts w:ascii="David" w:hAnsi="David"/>
          <w:rtl/>
        </w:rPr>
        <w:t xml:space="preserve"> מצאו לנכון לה</w:t>
      </w:r>
      <w:r w:rsidR="00F00AA6" w:rsidRPr="002574C3">
        <w:rPr>
          <w:rFonts w:ascii="David" w:hAnsi="David"/>
          <w:rtl/>
        </w:rPr>
        <w:t>אריך תקופת עיכוב ההליכים בהסכמה</w:t>
      </w:r>
      <w:r w:rsidR="00606F58">
        <w:rPr>
          <w:rFonts w:ascii="David" w:hAnsi="David" w:hint="cs"/>
          <w:rtl/>
        </w:rPr>
        <w:t xml:space="preserve"> .</w:t>
      </w:r>
    </w:p>
    <w:p w:rsidR="002574C3" w:rsidRPr="002574C3" w:rsidRDefault="002574C3" w:rsidP="002574C3">
      <w:pPr>
        <w:pStyle w:val="ad"/>
        <w:rPr>
          <w:rFonts w:ascii="David" w:hAnsi="David"/>
          <w:rtl/>
        </w:rPr>
      </w:pPr>
    </w:p>
    <w:p w:rsidR="002574C3" w:rsidRPr="002574C3" w:rsidRDefault="002574C3" w:rsidP="002574C3">
      <w:pPr>
        <w:pStyle w:val="ad"/>
        <w:numPr>
          <w:ilvl w:val="0"/>
          <w:numId w:val="7"/>
        </w:numPr>
        <w:spacing w:line="360" w:lineRule="auto"/>
        <w:ind w:left="567" w:hanging="567"/>
        <w:jc w:val="both"/>
        <w:rPr>
          <w:rFonts w:ascii="David" w:hAnsi="David"/>
        </w:rPr>
      </w:pPr>
      <w:r w:rsidRPr="002574C3">
        <w:rPr>
          <w:rFonts w:ascii="David" w:hAnsi="David" w:hint="cs"/>
          <w:rtl/>
        </w:rPr>
        <w:t xml:space="preserve">כמו כן </w:t>
      </w:r>
      <w:r w:rsidR="000A59A1" w:rsidRPr="002574C3">
        <w:rPr>
          <w:rFonts w:ascii="David" w:hAnsi="David"/>
          <w:rtl/>
        </w:rPr>
        <w:t>במצב דברים זה שלפיו הצדדים מצאו להאריך את תקופת עיכוב ההליכים</w:t>
      </w:r>
      <w:r w:rsidR="002C1A9B" w:rsidRPr="002574C3">
        <w:rPr>
          <w:rFonts w:ascii="David" w:hAnsi="David"/>
          <w:rtl/>
        </w:rPr>
        <w:t xml:space="preserve"> על מנת להוסיף וליישב המחלוקת ב</w:t>
      </w:r>
      <w:r w:rsidR="000A59A1" w:rsidRPr="002574C3">
        <w:rPr>
          <w:rFonts w:ascii="David" w:hAnsi="David"/>
          <w:rtl/>
        </w:rPr>
        <w:t>ה</w:t>
      </w:r>
      <w:r w:rsidR="002C1A9B" w:rsidRPr="002574C3">
        <w:rPr>
          <w:rFonts w:ascii="David" w:hAnsi="David"/>
          <w:rtl/>
        </w:rPr>
        <w:t>ס</w:t>
      </w:r>
      <w:r w:rsidR="000A59A1" w:rsidRPr="002574C3">
        <w:rPr>
          <w:rFonts w:ascii="David" w:hAnsi="David"/>
          <w:rtl/>
        </w:rPr>
        <w:t xml:space="preserve">כמה אזי אין דין שבית המשפט יידרש להכרעה בסוגיות דחופות המצויות בליבת המחלוקת שבין הצדדים. </w:t>
      </w:r>
      <w:r w:rsidRPr="002574C3">
        <w:rPr>
          <w:rFonts w:ascii="David" w:hAnsi="David" w:hint="cs"/>
          <w:rtl/>
        </w:rPr>
        <w:t xml:space="preserve">והרי בהעדר הסכמה </w:t>
      </w:r>
      <w:r w:rsidR="000A59A1" w:rsidRPr="002574C3">
        <w:rPr>
          <w:rFonts w:ascii="David" w:hAnsi="David"/>
          <w:rtl/>
        </w:rPr>
        <w:t>כל אחד מהצדדים רש</w:t>
      </w:r>
      <w:r w:rsidRPr="002574C3">
        <w:rPr>
          <w:rFonts w:ascii="David" w:hAnsi="David" w:hint="cs"/>
          <w:rtl/>
        </w:rPr>
        <w:t>א</w:t>
      </w:r>
      <w:r w:rsidR="000A59A1" w:rsidRPr="002574C3">
        <w:rPr>
          <w:rFonts w:ascii="David" w:hAnsi="David"/>
          <w:rtl/>
        </w:rPr>
        <w:t>י לפעול בהתאם לתק</w:t>
      </w:r>
      <w:r w:rsidRPr="002574C3">
        <w:rPr>
          <w:rFonts w:ascii="David" w:hAnsi="David" w:hint="cs"/>
          <w:rtl/>
        </w:rPr>
        <w:t>נ</w:t>
      </w:r>
      <w:r w:rsidR="000A59A1" w:rsidRPr="002574C3">
        <w:rPr>
          <w:rFonts w:ascii="David" w:hAnsi="David"/>
          <w:rtl/>
        </w:rPr>
        <w:t xml:space="preserve">ות </w:t>
      </w:r>
      <w:r w:rsidR="002C1A9B" w:rsidRPr="002574C3">
        <w:rPr>
          <w:rFonts w:ascii="David" w:hAnsi="David"/>
          <w:rtl/>
        </w:rPr>
        <w:t xml:space="preserve">לרבות הוראת </w:t>
      </w:r>
      <w:r w:rsidR="000A59A1" w:rsidRPr="002574C3">
        <w:rPr>
          <w:rFonts w:ascii="David" w:hAnsi="David"/>
          <w:rtl/>
        </w:rPr>
        <w:t xml:space="preserve">תקנה 8ד </w:t>
      </w:r>
      <w:r w:rsidR="002C1A9B" w:rsidRPr="002574C3">
        <w:rPr>
          <w:rFonts w:ascii="David" w:hAnsi="David"/>
          <w:rtl/>
        </w:rPr>
        <w:t>ולנקוט בהליכים מתא</w:t>
      </w:r>
      <w:r w:rsidRPr="002574C3">
        <w:rPr>
          <w:rFonts w:ascii="David" w:hAnsi="David" w:hint="cs"/>
          <w:rtl/>
        </w:rPr>
        <w:t>י</w:t>
      </w:r>
      <w:r w:rsidR="002C1A9B" w:rsidRPr="002574C3">
        <w:rPr>
          <w:rFonts w:ascii="David" w:hAnsi="David"/>
          <w:rtl/>
        </w:rPr>
        <w:t>מים.</w:t>
      </w:r>
    </w:p>
    <w:p w:rsidR="002574C3" w:rsidRDefault="002574C3" w:rsidP="002574C3">
      <w:pPr>
        <w:pStyle w:val="ad"/>
        <w:rPr>
          <w:rFonts w:ascii="David" w:hAnsi="David"/>
          <w:highlight w:val="yellow"/>
          <w:rtl/>
        </w:rPr>
      </w:pPr>
    </w:p>
    <w:p w:rsidR="00200B0F" w:rsidRDefault="00200B0F" w:rsidP="002574C3">
      <w:pPr>
        <w:pStyle w:val="ad"/>
        <w:rPr>
          <w:rFonts w:ascii="David" w:hAnsi="David"/>
          <w:highlight w:val="yellow"/>
          <w:rtl/>
        </w:rPr>
      </w:pPr>
    </w:p>
    <w:p w:rsidR="00200B0F" w:rsidRPr="002574C3" w:rsidRDefault="00200B0F" w:rsidP="002574C3">
      <w:pPr>
        <w:pStyle w:val="ad"/>
        <w:rPr>
          <w:rFonts w:ascii="David" w:hAnsi="David"/>
          <w:highlight w:val="yellow"/>
          <w:rtl/>
        </w:rPr>
      </w:pPr>
    </w:p>
    <w:p w:rsidR="00200B0F" w:rsidRPr="002574C3" w:rsidRDefault="00200B0F" w:rsidP="00200B0F">
      <w:pPr>
        <w:pStyle w:val="ad"/>
        <w:spacing w:line="360" w:lineRule="auto"/>
        <w:ind w:left="567"/>
        <w:jc w:val="both"/>
        <w:rPr>
          <w:rFonts w:ascii="David" w:hAnsi="David"/>
        </w:rPr>
      </w:pPr>
    </w:p>
    <w:p w:rsidR="00D37523" w:rsidRPr="00042328" w:rsidRDefault="00606F58" w:rsidP="00606F58">
      <w:pPr>
        <w:pStyle w:val="ad"/>
        <w:numPr>
          <w:ilvl w:val="0"/>
          <w:numId w:val="7"/>
        </w:numPr>
        <w:spacing w:line="360" w:lineRule="auto"/>
        <w:ind w:left="567" w:hanging="567"/>
        <w:jc w:val="both"/>
        <w:rPr>
          <w:rFonts w:ascii="David" w:hAnsi="David"/>
          <w:rtl/>
        </w:rPr>
      </w:pPr>
      <w:r>
        <w:rPr>
          <w:rFonts w:ascii="David" w:hAnsi="David" w:hint="cs"/>
          <w:rtl/>
        </w:rPr>
        <w:lastRenderedPageBreak/>
        <w:t xml:space="preserve">לבסוף </w:t>
      </w:r>
      <w:r w:rsidR="00EC573A">
        <w:rPr>
          <w:rFonts w:ascii="David" w:hAnsi="David" w:hint="cs"/>
          <w:rtl/>
        </w:rPr>
        <w:t xml:space="preserve">אציין, כי </w:t>
      </w:r>
      <w:r w:rsidR="00D37523" w:rsidRPr="00042328">
        <w:rPr>
          <w:rFonts w:ascii="David" w:hAnsi="David"/>
          <w:rtl/>
        </w:rPr>
        <w:t xml:space="preserve"> לא מצאתי להידרש לטענת המבקשת שעלתה לראש</w:t>
      </w:r>
      <w:r>
        <w:rPr>
          <w:rFonts w:ascii="David" w:hAnsi="David" w:hint="cs"/>
          <w:rtl/>
        </w:rPr>
        <w:t>ו</w:t>
      </w:r>
      <w:r w:rsidR="00D37523" w:rsidRPr="00042328">
        <w:rPr>
          <w:rFonts w:ascii="David" w:hAnsi="David"/>
          <w:rtl/>
        </w:rPr>
        <w:t xml:space="preserve">נה אך בתשובתה מיום 9.10.24 לפיה המדובר בסעד זמני לשמירת המצב הקיים, מה  גם שהסעד המבוקש יוביל לשינוי פיזי במקום מגוריהן הנוכחי של הקטינות ובפועל לשינוי במצב הקיים. </w:t>
      </w:r>
    </w:p>
    <w:p w:rsidR="00D37523" w:rsidRPr="00042328" w:rsidRDefault="00D37523" w:rsidP="00543B6A">
      <w:pPr>
        <w:pStyle w:val="ad"/>
        <w:ind w:left="567" w:hanging="720"/>
        <w:rPr>
          <w:rFonts w:ascii="Arial" w:hAnsi="Arial" w:cs="Arial"/>
        </w:rPr>
      </w:pPr>
    </w:p>
    <w:p w:rsidR="00D37523" w:rsidRPr="00042328" w:rsidRDefault="00D37523" w:rsidP="000A59A1">
      <w:pPr>
        <w:pStyle w:val="ad"/>
        <w:numPr>
          <w:ilvl w:val="0"/>
          <w:numId w:val="7"/>
        </w:numPr>
        <w:spacing w:line="360" w:lineRule="auto"/>
        <w:ind w:left="567" w:hanging="567"/>
        <w:jc w:val="both"/>
        <w:rPr>
          <w:rFonts w:ascii="David" w:hAnsi="David"/>
          <w:rtl/>
        </w:rPr>
      </w:pPr>
      <w:r w:rsidRPr="00042328">
        <w:rPr>
          <w:rFonts w:ascii="David" w:hAnsi="David"/>
          <w:rtl/>
        </w:rPr>
        <w:t xml:space="preserve">מן המקובץ נמצא כי דין הבקשה במתכונתה להידחות וכך אני מורה. </w:t>
      </w:r>
    </w:p>
    <w:p w:rsidR="00D37523" w:rsidRPr="00042328" w:rsidRDefault="00D37523" w:rsidP="00543B6A">
      <w:pPr>
        <w:pStyle w:val="ad"/>
        <w:ind w:hanging="720"/>
        <w:rPr>
          <w:rFonts w:ascii="Arial" w:hAnsi="Arial" w:cs="Arial"/>
        </w:rPr>
      </w:pPr>
    </w:p>
    <w:p w:rsidR="00D37523" w:rsidRPr="00042328" w:rsidRDefault="007D45EC" w:rsidP="00606F58">
      <w:pPr>
        <w:pStyle w:val="ad"/>
        <w:numPr>
          <w:ilvl w:val="0"/>
          <w:numId w:val="7"/>
        </w:numPr>
        <w:spacing w:line="360" w:lineRule="auto"/>
        <w:ind w:left="567" w:hanging="567"/>
        <w:jc w:val="both"/>
        <w:rPr>
          <w:rFonts w:ascii="David" w:hAnsi="David"/>
        </w:rPr>
      </w:pPr>
      <w:r>
        <w:rPr>
          <w:rFonts w:ascii="David" w:hAnsi="David" w:hint="cs"/>
          <w:rtl/>
        </w:rPr>
        <w:t>לאור</w:t>
      </w:r>
      <w:r w:rsidR="00D37523" w:rsidRPr="00042328">
        <w:rPr>
          <w:rFonts w:ascii="David" w:hAnsi="David"/>
          <w:rtl/>
        </w:rPr>
        <w:t xml:space="preserve"> התוצאה אך בהביאי בחשבון כי המשיב הכביר בטענות שאינן רלוונטיות תוך הכבדה שלא לצורך על ברור הבקשה , אורה על חיוב המבקשת בהוצאות </w:t>
      </w:r>
      <w:r>
        <w:rPr>
          <w:rFonts w:ascii="David" w:hAnsi="David" w:hint="cs"/>
          <w:rtl/>
        </w:rPr>
        <w:t xml:space="preserve">מתונות לטובת המשיב בסך של </w:t>
      </w:r>
      <w:r w:rsidR="00606F58">
        <w:rPr>
          <w:rFonts w:ascii="David" w:hAnsi="David" w:hint="cs"/>
          <w:rtl/>
        </w:rPr>
        <w:t>3</w:t>
      </w:r>
      <w:r>
        <w:rPr>
          <w:rFonts w:ascii="David" w:hAnsi="David" w:hint="cs"/>
          <w:rtl/>
        </w:rPr>
        <w:t>000 ₪ .</w:t>
      </w:r>
      <w:r w:rsidR="00D37523" w:rsidRPr="00042328">
        <w:rPr>
          <w:rFonts w:ascii="David" w:hAnsi="David"/>
          <w:rtl/>
        </w:rPr>
        <w:t xml:space="preserve"> </w:t>
      </w:r>
    </w:p>
    <w:p w:rsidR="00D37523" w:rsidRPr="00042328" w:rsidRDefault="00D37523" w:rsidP="00D37523">
      <w:pPr>
        <w:pStyle w:val="ad"/>
        <w:spacing w:line="360" w:lineRule="auto"/>
        <w:ind w:left="567"/>
        <w:jc w:val="both"/>
        <w:rPr>
          <w:rFonts w:ascii="Arial" w:hAnsi="Arial" w:cs="Arial"/>
          <w:rtl/>
        </w:rPr>
      </w:pPr>
    </w:p>
    <w:p w:rsidR="00D37523" w:rsidRPr="007D45EC" w:rsidRDefault="00D37523" w:rsidP="007D45EC">
      <w:pPr>
        <w:spacing w:line="360" w:lineRule="auto"/>
        <w:ind w:left="567" w:hanging="567"/>
        <w:jc w:val="both"/>
        <w:rPr>
          <w:rFonts w:ascii="Arial" w:hAnsi="Arial" w:cs="Arial"/>
          <w:rtl/>
        </w:rPr>
      </w:pPr>
      <w:r w:rsidRPr="007D45EC">
        <w:rPr>
          <w:rFonts w:ascii="David" w:hAnsi="David"/>
          <w:rtl/>
        </w:rPr>
        <w:t xml:space="preserve">המזכירות תשגר את ההחלטה לצדדים ללא דיחוי ותסגור </w:t>
      </w:r>
      <w:r w:rsidR="007D45EC" w:rsidRPr="007D45EC">
        <w:rPr>
          <w:rFonts w:ascii="David" w:hAnsi="David" w:hint="cs"/>
          <w:rtl/>
        </w:rPr>
        <w:t xml:space="preserve">את </w:t>
      </w:r>
      <w:r w:rsidRPr="007D45EC">
        <w:rPr>
          <w:rFonts w:ascii="David" w:hAnsi="David"/>
          <w:rtl/>
        </w:rPr>
        <w:t>ה</w:t>
      </w:r>
      <w:r w:rsidR="007D45EC" w:rsidRPr="007D45EC">
        <w:rPr>
          <w:rFonts w:ascii="David" w:hAnsi="David" w:hint="cs"/>
          <w:rtl/>
        </w:rPr>
        <w:t>תיק</w:t>
      </w:r>
      <w:r w:rsidRPr="007D45EC">
        <w:rPr>
          <w:rFonts w:ascii="David" w:hAnsi="David"/>
          <w:rtl/>
        </w:rPr>
        <w:t>.</w:t>
      </w:r>
    </w:p>
    <w:p w:rsidR="00D73D83" w:rsidRDefault="00D73D83">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אוקטובר 2024</w:t>
          </w:r>
        </w:sdtContent>
      </w:sdt>
      <w:r w:rsidR="00005C8B">
        <w:rPr>
          <w:rFonts w:ascii="Arial" w:hAnsi="Arial"/>
          <w:noProof w:val="0"/>
          <w:rtl/>
        </w:rPr>
        <w:t>, בהעדר הצדדים.</w:t>
      </w:r>
    </w:p>
    <w:p w:rsidR="00C43648" w:rsidRDefault="00262CA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27965168"/>
        </w:sdtPr>
        <w:sdtEndPr/>
        <w:sdtContent>
          <w:r w:rsidR="007F5365">
            <w:rPr>
              <w:rFonts w:hint="cs"/>
              <w:rtl/>
            </w:rPr>
            <w:t>_________________</w:t>
          </w:r>
        </w:sdtContent>
      </w:sdt>
    </w:p>
    <w:p w:rsidR="00694556" w:rsidRDefault="007F5365"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CA3" w:rsidRDefault="00262CA3">
      <w:r>
        <w:separator/>
      </w:r>
    </w:p>
  </w:endnote>
  <w:endnote w:type="continuationSeparator" w:id="0">
    <w:p w:rsidR="00262CA3" w:rsidRDefault="0026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6B6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6B6B">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CA3" w:rsidRDefault="00262CA3">
      <w:r>
        <w:separator/>
      </w:r>
    </w:p>
  </w:footnote>
  <w:footnote w:type="continuationSeparator" w:id="0">
    <w:p w:rsidR="00262CA3" w:rsidRDefault="0026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62CA3" w:rsidP="000974D9">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48458-09-24</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854"/>
    <w:multiLevelType w:val="hybridMultilevel"/>
    <w:tmpl w:val="F25445CC"/>
    <w:lvl w:ilvl="0" w:tplc="B4EA0334">
      <w:start w:val="12"/>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C25D1"/>
    <w:multiLevelType w:val="hybridMultilevel"/>
    <w:tmpl w:val="61845AC0"/>
    <w:lvl w:ilvl="0" w:tplc="D58CF074">
      <w:start w:val="11"/>
      <w:numFmt w:val="decimal"/>
      <w:lvlText w:val="%1."/>
      <w:lvlJc w:val="left"/>
      <w:pPr>
        <w:ind w:left="360" w:hanging="360"/>
      </w:pPr>
      <w:rPr>
        <w:rFonts w:ascii="David" w:hAnsi="David" w:cs="David"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3836BC4"/>
    <w:multiLevelType w:val="hybridMultilevel"/>
    <w:tmpl w:val="1A86EA18"/>
    <w:lvl w:ilvl="0" w:tplc="1C1A61D8">
      <w:start w:val="1"/>
      <w:numFmt w:val="decimal"/>
      <w:lvlText w:val="%1."/>
      <w:lvlJc w:val="left"/>
      <w:pPr>
        <w:ind w:left="360" w:hanging="360"/>
      </w:pPr>
      <w:rPr>
        <w:b w:val="0"/>
        <w:bCs w:val="0"/>
        <w:lang w:bidi="he-I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B2D227C"/>
    <w:multiLevelType w:val="hybridMultilevel"/>
    <w:tmpl w:val="F2F8CD8A"/>
    <w:lvl w:ilvl="0" w:tplc="AA96D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C01C3D"/>
    <w:multiLevelType w:val="hybridMultilevel"/>
    <w:tmpl w:val="5D12FF36"/>
    <w:lvl w:ilvl="0" w:tplc="831A154E">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CC43C4C"/>
    <w:multiLevelType w:val="hybridMultilevel"/>
    <w:tmpl w:val="30D8215C"/>
    <w:lvl w:ilvl="0" w:tplc="223A852E">
      <w:start w:val="5"/>
      <w:numFmt w:val="decimal"/>
      <w:lvlText w:val="%1."/>
      <w:lvlJc w:val="left"/>
      <w:pPr>
        <w:ind w:left="720" w:hanging="360"/>
      </w:pPr>
      <w:rPr>
        <w:rFonts w:ascii="David" w:hAnsi="David"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722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72296&amp;lt;/CaseID&amp;gt;_x000d__x000a_        &amp;lt;CaseMonth&amp;gt;9&amp;lt;/CaseMonth&amp;gt;_x000d__x000a_        &amp;lt;CaseYear&amp;gt;2024&amp;lt;/CaseYear&amp;gt;_x000d__x000a_        &amp;lt;CaseNumber&amp;gt;48458&amp;lt;/CaseNumber&amp;gt;_x000d__x000a_        &amp;lt;NumeratorGroupID&amp;gt;1&amp;lt;/NumeratorGroupID&amp;gt;_x000d__x000a_        &amp;lt;CaseName&amp;gt;וכטר נ&amp;#39; וכטר&amp;lt;/CaseName&amp;gt;_x000d__x000a_        &amp;lt;CourtID&amp;gt;41&amp;lt;/CourtID&amp;gt;_x000d__x000a_        &amp;lt;CaseTypeID&amp;gt;10043&amp;lt;/CaseTypeID&amp;gt;_x000d__x000a_        &amp;lt;CaseInterestID&amp;gt;10465&amp;lt;/CaseInterestID&amp;gt;_x000d__x000a_        &amp;lt;CaseJudgeName&amp;gt;אפרת שהם דליות&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8458-09-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17T07:00:00+03:00&amp;lt;/CaseOpenDate&amp;gt;_x000d__x000a_        &amp;lt;PleaTypeID&amp;gt;5&amp;lt;/PleaTypeID&amp;gt;_x000d__x000a_        &amp;lt;CourtLevelID&amp;gt;1&amp;lt;/CourtLevelID&amp;gt;_x000d__x000a_        &amp;lt;CourtLevelCaseTypeInterestID&amp;gt;1609&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72296&amp;lt;/CaseID&amp;gt;_x000d__x000a_        &amp;lt;CaseMonth&amp;gt;9&amp;lt;/CaseMonth&amp;gt;_x000d__x000a_        &amp;lt;CaseYear&amp;gt;2024&amp;lt;/CaseYear&amp;gt;_x000d__x000a_        &amp;lt;CaseNumber&amp;gt;48458&amp;lt;/CaseNumber&amp;gt;_x000d__x000a_        &amp;lt;NumeratorGroupID&amp;gt;1&amp;lt;/NumeratorGroupID&amp;gt;_x000d__x000a_        &amp;lt;CaseName&amp;gt;וכטר נ&amp;#39; וכטר&amp;lt;/CaseName&amp;gt;_x000d__x000a_        &amp;lt;CourtID&amp;gt;41&amp;lt;/CourtID&amp;gt;_x000d__x000a_        &amp;lt;CaseTypeID&amp;gt;10043&amp;lt;/CaseTypeID&amp;gt;_x000d__x000a_        &amp;lt;CaseInterestID&amp;gt;10465&amp;lt;/CaseInterestID&amp;gt;_x000d__x000a_        &amp;lt;CaseJudgeName&amp;gt;אפרת שהם דליות&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8458-09-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9-17T07:00:00+03:00&amp;lt;/CaseOpenDate&amp;gt;_x000d__x000a_        &amp;lt;PleaTypeID&amp;gt;5&amp;lt;/PleaTypeID&amp;gt;_x000d__x000a_        &amp;lt;CourtLevelID&amp;gt;1&amp;lt;/CourtLevelID&amp;gt;_x000d__x000a_        &amp;lt;CourtLevelCaseTypeInterestID&amp;gt;1609&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59363&amp;lt;/DecisionID&amp;gt;_x000d__x000a_        &amp;lt;DecisionName&amp;gt;החלטה  שניתנה ע&amp;quot;י  אפרת שהם דליות&amp;lt;/DecisionName&amp;gt;_x000d__x000a_        &amp;lt;DecisionStatusID&amp;gt;1&amp;lt;/DecisionStatusID&amp;gt;_x000d__x000a_        &amp;lt;DecisionStatusChangeDate&amp;gt;2024-10-14T16:56:47.437+03:00&amp;lt;/DecisionStatusChangeDate&amp;gt;_x000d__x000a_        &amp;lt;DecisionSignatureDate&amp;gt;2024-10-10T18:27:34.637+03:00&amp;lt;/DecisionSignatureDate&amp;gt;_x000d__x000a_        &amp;lt;DecisionSignatureUserID&amp;gt;031902232@GOV.IL&amp;lt;/DecisionSignatureUserID&amp;gt;_x000d__x000a_        &amp;lt;DecisionCreateDate&amp;gt;2024-10-01T11:10:51.707+03:00&amp;lt;/DecisionCreateDate&amp;gt;_x000d__x000a_        &amp;lt;DecisionChangeDate&amp;gt;2024-10-14T16:56:47.497+03: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8188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החלטה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5259363&amp;lt;/DecisionID&amp;gt;_x000d__x000a_        &amp;lt;CaseID&amp;gt;81972296&amp;lt;/CaseID&amp;gt;_x000d__x000a_        &amp;lt;IsOriginal&amp;gt;true&amp;lt;/IsOriginal&amp;gt;_x000d__x000a_        &amp;lt;IsDeleted&amp;gt;false&amp;lt;/IsDeleted&amp;gt;_x000d__x000a_        &amp;lt;CaseName&amp;gt;וכטר נ&amp;#39; וכטר&amp;lt;/CaseName&amp;gt;_x000d__x000a_        &amp;lt;CaseDisplayIdentifier&amp;gt;48458-09-24 י&amp;quot;ס&amp;lt;/CaseDisplayIdentifier&amp;gt;_x000d__x000a_      &amp;lt;/dt_DecisionCase&amp;gt;_x000d__x000a_    &amp;lt;/DecisionDS&amp;gt;_x000d__x000a_  &amp;lt;/diffgr:diffgram&amp;gt;_x000d__x000a_&amp;lt;/DecisionDS&amp;gt;"/>
    <w:docVar w:name="DecisionID" w:val="155259363"/>
    <w:docVar w:name="WordClientAssemblyName" w:val="NGCS.Decision.ClientWordBL"/>
    <w:docVar w:name="WordClientClassName" w:val="NGCS.Decision.ClientWordBL.DecisionClient"/>
  </w:docVars>
  <w:rsids>
    <w:rsidRoot w:val="00694556"/>
    <w:rsid w:val="00000062"/>
    <w:rsid w:val="0000226B"/>
    <w:rsid w:val="00004A9E"/>
    <w:rsid w:val="00005C8B"/>
    <w:rsid w:val="000229A1"/>
    <w:rsid w:val="00025181"/>
    <w:rsid w:val="00036265"/>
    <w:rsid w:val="00042328"/>
    <w:rsid w:val="000529D2"/>
    <w:rsid w:val="000564AB"/>
    <w:rsid w:val="0006216E"/>
    <w:rsid w:val="00064651"/>
    <w:rsid w:val="00064FBD"/>
    <w:rsid w:val="00065045"/>
    <w:rsid w:val="0008039A"/>
    <w:rsid w:val="0008198F"/>
    <w:rsid w:val="00082AB2"/>
    <w:rsid w:val="000906FE"/>
    <w:rsid w:val="00096AF7"/>
    <w:rsid w:val="000974D9"/>
    <w:rsid w:val="000A0F64"/>
    <w:rsid w:val="000A59A1"/>
    <w:rsid w:val="000B05DA"/>
    <w:rsid w:val="000B344B"/>
    <w:rsid w:val="000C3B0F"/>
    <w:rsid w:val="000C3B60"/>
    <w:rsid w:val="000D2B89"/>
    <w:rsid w:val="000E0DD2"/>
    <w:rsid w:val="000E3AF1"/>
    <w:rsid w:val="000F0BC8"/>
    <w:rsid w:val="000F0DD6"/>
    <w:rsid w:val="00107C91"/>
    <w:rsid w:val="00107E6D"/>
    <w:rsid w:val="0011194C"/>
    <w:rsid w:val="0011424C"/>
    <w:rsid w:val="001173C6"/>
    <w:rsid w:val="001367BC"/>
    <w:rsid w:val="00144D2A"/>
    <w:rsid w:val="0014653E"/>
    <w:rsid w:val="00174544"/>
    <w:rsid w:val="00180519"/>
    <w:rsid w:val="00183F45"/>
    <w:rsid w:val="00186386"/>
    <w:rsid w:val="00191C82"/>
    <w:rsid w:val="001A2999"/>
    <w:rsid w:val="001C333E"/>
    <w:rsid w:val="001C4003"/>
    <w:rsid w:val="001D4DBF"/>
    <w:rsid w:val="001D7F08"/>
    <w:rsid w:val="001E75CA"/>
    <w:rsid w:val="001F7FA0"/>
    <w:rsid w:val="00200B0F"/>
    <w:rsid w:val="00211914"/>
    <w:rsid w:val="0021430A"/>
    <w:rsid w:val="00216E60"/>
    <w:rsid w:val="002265FF"/>
    <w:rsid w:val="00234943"/>
    <w:rsid w:val="002574C3"/>
    <w:rsid w:val="00262CA3"/>
    <w:rsid w:val="0026749F"/>
    <w:rsid w:val="00271B56"/>
    <w:rsid w:val="00281D3F"/>
    <w:rsid w:val="0028443A"/>
    <w:rsid w:val="002904A1"/>
    <w:rsid w:val="00291CDA"/>
    <w:rsid w:val="002B0282"/>
    <w:rsid w:val="002B57AA"/>
    <w:rsid w:val="002B68F4"/>
    <w:rsid w:val="002C1A9B"/>
    <w:rsid w:val="002C344E"/>
    <w:rsid w:val="002C3F4A"/>
    <w:rsid w:val="002D1A01"/>
    <w:rsid w:val="002E1B7F"/>
    <w:rsid w:val="002E75E9"/>
    <w:rsid w:val="002F0F20"/>
    <w:rsid w:val="00307A6A"/>
    <w:rsid w:val="00307C40"/>
    <w:rsid w:val="00320433"/>
    <w:rsid w:val="003230C7"/>
    <w:rsid w:val="00327E50"/>
    <w:rsid w:val="00331AE1"/>
    <w:rsid w:val="0033597A"/>
    <w:rsid w:val="00343D89"/>
    <w:rsid w:val="00352A6D"/>
    <w:rsid w:val="00353342"/>
    <w:rsid w:val="00362542"/>
    <w:rsid w:val="00362612"/>
    <w:rsid w:val="0036743F"/>
    <w:rsid w:val="003706DE"/>
    <w:rsid w:val="003715DD"/>
    <w:rsid w:val="00381085"/>
    <w:rsid w:val="003823E0"/>
    <w:rsid w:val="003829A6"/>
    <w:rsid w:val="00383A35"/>
    <w:rsid w:val="00391258"/>
    <w:rsid w:val="003A4521"/>
    <w:rsid w:val="003D1C8C"/>
    <w:rsid w:val="003F08FC"/>
    <w:rsid w:val="0040096C"/>
    <w:rsid w:val="00414F1F"/>
    <w:rsid w:val="0043125D"/>
    <w:rsid w:val="0043502B"/>
    <w:rsid w:val="004443AC"/>
    <w:rsid w:val="00444B02"/>
    <w:rsid w:val="00445875"/>
    <w:rsid w:val="00451E28"/>
    <w:rsid w:val="00462C62"/>
    <w:rsid w:val="0046393D"/>
    <w:rsid w:val="00465D36"/>
    <w:rsid w:val="004742B1"/>
    <w:rsid w:val="00484562"/>
    <w:rsid w:val="004A72FB"/>
    <w:rsid w:val="004C17EE"/>
    <w:rsid w:val="004C4BDF"/>
    <w:rsid w:val="004D1187"/>
    <w:rsid w:val="004D3AA0"/>
    <w:rsid w:val="004E1987"/>
    <w:rsid w:val="004E2E15"/>
    <w:rsid w:val="004E6E3C"/>
    <w:rsid w:val="004F2AE1"/>
    <w:rsid w:val="00515268"/>
    <w:rsid w:val="00520898"/>
    <w:rsid w:val="00523621"/>
    <w:rsid w:val="00524986"/>
    <w:rsid w:val="005268F6"/>
    <w:rsid w:val="00534284"/>
    <w:rsid w:val="00543B6A"/>
    <w:rsid w:val="00547DB7"/>
    <w:rsid w:val="0057792F"/>
    <w:rsid w:val="00583E76"/>
    <w:rsid w:val="00593365"/>
    <w:rsid w:val="00594F61"/>
    <w:rsid w:val="005A0CA1"/>
    <w:rsid w:val="005B266F"/>
    <w:rsid w:val="005C2708"/>
    <w:rsid w:val="005C28A7"/>
    <w:rsid w:val="005E572A"/>
    <w:rsid w:val="005F4F09"/>
    <w:rsid w:val="0060272A"/>
    <w:rsid w:val="00603B7F"/>
    <w:rsid w:val="00606F58"/>
    <w:rsid w:val="0061431B"/>
    <w:rsid w:val="00622BAA"/>
    <w:rsid w:val="006306CF"/>
    <w:rsid w:val="00644E9A"/>
    <w:rsid w:val="00671BD5"/>
    <w:rsid w:val="00673934"/>
    <w:rsid w:val="006749B5"/>
    <w:rsid w:val="006805C1"/>
    <w:rsid w:val="00686C21"/>
    <w:rsid w:val="006931C1"/>
    <w:rsid w:val="00694556"/>
    <w:rsid w:val="00695F17"/>
    <w:rsid w:val="00696140"/>
    <w:rsid w:val="006C30C5"/>
    <w:rsid w:val="006C4820"/>
    <w:rsid w:val="006D3B31"/>
    <w:rsid w:val="006E0D96"/>
    <w:rsid w:val="006E1A53"/>
    <w:rsid w:val="006F0CEE"/>
    <w:rsid w:val="006F56E6"/>
    <w:rsid w:val="006F6A51"/>
    <w:rsid w:val="00704EDA"/>
    <w:rsid w:val="00721122"/>
    <w:rsid w:val="00734433"/>
    <w:rsid w:val="00753019"/>
    <w:rsid w:val="00754801"/>
    <w:rsid w:val="00761441"/>
    <w:rsid w:val="00785B2B"/>
    <w:rsid w:val="00795365"/>
    <w:rsid w:val="007A351D"/>
    <w:rsid w:val="007B7765"/>
    <w:rsid w:val="007C5BDD"/>
    <w:rsid w:val="007D45E3"/>
    <w:rsid w:val="007D45EC"/>
    <w:rsid w:val="007D716D"/>
    <w:rsid w:val="007E6115"/>
    <w:rsid w:val="007F4609"/>
    <w:rsid w:val="007F5365"/>
    <w:rsid w:val="007F5518"/>
    <w:rsid w:val="00814468"/>
    <w:rsid w:val="008176A1"/>
    <w:rsid w:val="00820005"/>
    <w:rsid w:val="008236B6"/>
    <w:rsid w:val="00844318"/>
    <w:rsid w:val="008450E8"/>
    <w:rsid w:val="0086061C"/>
    <w:rsid w:val="00863F5D"/>
    <w:rsid w:val="00865D81"/>
    <w:rsid w:val="00870890"/>
    <w:rsid w:val="00873602"/>
    <w:rsid w:val="00875D12"/>
    <w:rsid w:val="00880D6E"/>
    <w:rsid w:val="00881CCE"/>
    <w:rsid w:val="0088479D"/>
    <w:rsid w:val="00896889"/>
    <w:rsid w:val="00897DAF"/>
    <w:rsid w:val="008C5714"/>
    <w:rsid w:val="008D10B2"/>
    <w:rsid w:val="008E1030"/>
    <w:rsid w:val="008E3481"/>
    <w:rsid w:val="00903896"/>
    <w:rsid w:val="00906F3D"/>
    <w:rsid w:val="00916194"/>
    <w:rsid w:val="0094424E"/>
    <w:rsid w:val="00955642"/>
    <w:rsid w:val="009622DF"/>
    <w:rsid w:val="0096493F"/>
    <w:rsid w:val="00967DFF"/>
    <w:rsid w:val="00994341"/>
    <w:rsid w:val="00996935"/>
    <w:rsid w:val="009A15B4"/>
    <w:rsid w:val="009D1A48"/>
    <w:rsid w:val="009E084D"/>
    <w:rsid w:val="009E1CE7"/>
    <w:rsid w:val="009E4EA5"/>
    <w:rsid w:val="009F164B"/>
    <w:rsid w:val="009F323C"/>
    <w:rsid w:val="00A16B81"/>
    <w:rsid w:val="00A3392B"/>
    <w:rsid w:val="00A5009F"/>
    <w:rsid w:val="00A64727"/>
    <w:rsid w:val="00A65F9E"/>
    <w:rsid w:val="00A84037"/>
    <w:rsid w:val="00A85E34"/>
    <w:rsid w:val="00A94B64"/>
    <w:rsid w:val="00AA3229"/>
    <w:rsid w:val="00AA7596"/>
    <w:rsid w:val="00AB5E52"/>
    <w:rsid w:val="00AC0831"/>
    <w:rsid w:val="00AC1527"/>
    <w:rsid w:val="00AC30D6"/>
    <w:rsid w:val="00AC3B02"/>
    <w:rsid w:val="00AC3B7B"/>
    <w:rsid w:val="00AC5209"/>
    <w:rsid w:val="00AD5C60"/>
    <w:rsid w:val="00AE0E34"/>
    <w:rsid w:val="00AE259F"/>
    <w:rsid w:val="00AE729E"/>
    <w:rsid w:val="00AE7752"/>
    <w:rsid w:val="00AF7FDA"/>
    <w:rsid w:val="00B13DF2"/>
    <w:rsid w:val="00B26566"/>
    <w:rsid w:val="00B5356E"/>
    <w:rsid w:val="00B60DE0"/>
    <w:rsid w:val="00B809AD"/>
    <w:rsid w:val="00B80CBD"/>
    <w:rsid w:val="00B86096"/>
    <w:rsid w:val="00B9137E"/>
    <w:rsid w:val="00B964D9"/>
    <w:rsid w:val="00BA0A7C"/>
    <w:rsid w:val="00BA517C"/>
    <w:rsid w:val="00BB3D05"/>
    <w:rsid w:val="00BB73BE"/>
    <w:rsid w:val="00BC2D89"/>
    <w:rsid w:val="00BD1C0C"/>
    <w:rsid w:val="00BD6531"/>
    <w:rsid w:val="00BE05B2"/>
    <w:rsid w:val="00BE5A99"/>
    <w:rsid w:val="00BE65D6"/>
    <w:rsid w:val="00BF1908"/>
    <w:rsid w:val="00C22D93"/>
    <w:rsid w:val="00C23458"/>
    <w:rsid w:val="00C31120"/>
    <w:rsid w:val="00C34482"/>
    <w:rsid w:val="00C43648"/>
    <w:rsid w:val="00C50A9F"/>
    <w:rsid w:val="00C642FA"/>
    <w:rsid w:val="00C839C0"/>
    <w:rsid w:val="00CC2A77"/>
    <w:rsid w:val="00CC7622"/>
    <w:rsid w:val="00CD5C7F"/>
    <w:rsid w:val="00CD608F"/>
    <w:rsid w:val="00CE4F9A"/>
    <w:rsid w:val="00CF2C11"/>
    <w:rsid w:val="00CF6BB7"/>
    <w:rsid w:val="00D04AA4"/>
    <w:rsid w:val="00D1187F"/>
    <w:rsid w:val="00D26B6B"/>
    <w:rsid w:val="00D27982"/>
    <w:rsid w:val="00D30407"/>
    <w:rsid w:val="00D33B86"/>
    <w:rsid w:val="00D37523"/>
    <w:rsid w:val="00D428A2"/>
    <w:rsid w:val="00D44968"/>
    <w:rsid w:val="00D53924"/>
    <w:rsid w:val="00D55D0C"/>
    <w:rsid w:val="00D73D83"/>
    <w:rsid w:val="00D75342"/>
    <w:rsid w:val="00D96D8C"/>
    <w:rsid w:val="00DA6649"/>
    <w:rsid w:val="00DB3438"/>
    <w:rsid w:val="00DC1259"/>
    <w:rsid w:val="00DC1BD2"/>
    <w:rsid w:val="00DC1C29"/>
    <w:rsid w:val="00DC2571"/>
    <w:rsid w:val="00DC487C"/>
    <w:rsid w:val="00DE1E7D"/>
    <w:rsid w:val="00DE6BF6"/>
    <w:rsid w:val="00E01D9B"/>
    <w:rsid w:val="00E04E84"/>
    <w:rsid w:val="00E1068A"/>
    <w:rsid w:val="00E15553"/>
    <w:rsid w:val="00E17E3D"/>
    <w:rsid w:val="00E25884"/>
    <w:rsid w:val="00E25B55"/>
    <w:rsid w:val="00E31C2B"/>
    <w:rsid w:val="00E3423B"/>
    <w:rsid w:val="00E5143B"/>
    <w:rsid w:val="00E5426A"/>
    <w:rsid w:val="00E54642"/>
    <w:rsid w:val="00E54CD9"/>
    <w:rsid w:val="00E67D8C"/>
    <w:rsid w:val="00E7427E"/>
    <w:rsid w:val="00E77E6B"/>
    <w:rsid w:val="00E80CBE"/>
    <w:rsid w:val="00E962E3"/>
    <w:rsid w:val="00EB6C79"/>
    <w:rsid w:val="00EC1C21"/>
    <w:rsid w:val="00EC37E9"/>
    <w:rsid w:val="00EC573A"/>
    <w:rsid w:val="00F00AA6"/>
    <w:rsid w:val="00F038D8"/>
    <w:rsid w:val="00F06995"/>
    <w:rsid w:val="00F13623"/>
    <w:rsid w:val="00F142FF"/>
    <w:rsid w:val="00F44D1D"/>
    <w:rsid w:val="00F544FE"/>
    <w:rsid w:val="00F665E8"/>
    <w:rsid w:val="00F77926"/>
    <w:rsid w:val="00F84B6D"/>
    <w:rsid w:val="00F957E8"/>
    <w:rsid w:val="00FA311A"/>
    <w:rsid w:val="00FA5FDA"/>
    <w:rsid w:val="00FB0C7B"/>
    <w:rsid w:val="00FB6AB3"/>
    <w:rsid w:val="00FD1419"/>
    <w:rsid w:val="00FD492F"/>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unhideWhenUsed/>
    <w:qFormat/>
    <w:rsid w:val="00E01D9B"/>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16E60"/>
    <w:pPr>
      <w:ind w:left="720"/>
      <w:contextualSpacing/>
    </w:pPr>
  </w:style>
  <w:style w:type="character" w:customStyle="1" w:styleId="50">
    <w:name w:val="כותרת 5 תו"/>
    <w:basedOn w:val="a0"/>
    <w:link w:val="5"/>
    <w:rsid w:val="00E01D9B"/>
    <w:rPr>
      <w:rFonts w:asciiTheme="majorHAnsi" w:eastAsiaTheme="majorEastAsia" w:hAnsiTheme="majorHAnsi" w:cstheme="majorBidi"/>
      <w:noProof/>
      <w:color w:val="365F91" w:themeColor="accent1" w:themeShade="BF"/>
      <w:sz w:val="24"/>
      <w:szCs w:val="24"/>
    </w:rPr>
  </w:style>
  <w:style w:type="character" w:styleId="Hyperlink">
    <w:name w:val="Hyperlink"/>
    <w:basedOn w:val="a0"/>
    <w:uiPriority w:val="99"/>
    <w:semiHidden/>
    <w:unhideWhenUsed/>
    <w:rsid w:val="007344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470491">
      <w:bodyDiv w:val="1"/>
      <w:marLeft w:val="0"/>
      <w:marRight w:val="0"/>
      <w:marTop w:val="0"/>
      <w:marBottom w:val="0"/>
      <w:divBdr>
        <w:top w:val="none" w:sz="0" w:space="0" w:color="auto"/>
        <w:left w:val="none" w:sz="0" w:space="0" w:color="auto"/>
        <w:bottom w:val="none" w:sz="0" w:space="0" w:color="auto"/>
        <w:right w:val="none" w:sz="0" w:space="0" w:color="auto"/>
      </w:divBdr>
    </w:div>
    <w:div w:id="13027328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311679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52891" w:rsidP="0005289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52891"/>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7214B"/>
    <w:rsid w:val="00E31BF6"/>
    <w:rsid w:val="00E81DB1"/>
    <w:rsid w:val="00F04DC1"/>
    <w:rsid w:val="00F678CA"/>
    <w:rsid w:val="00FD0CC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5289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פזית שני</FullName>
        <FirstName>פזית</FirstName>
        <LastName>שני</LastName>
        <PartyPropertyName/>
        <AuthenticationTypeAndNumber>מ.ר. 47897</AuthenticationTypeAndNumber>
        <RepresentatedOrRepresentativesNames>שמרי וכטר</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277806521</CasePartyID>
        <PartyTypeID>2</PartyTypeID>
        <ActivityStatusID>1</ActivityStatusID>
        <PartyAliasID>23</PartyAliasID>
        <PartyAliasName>בא כוח משיבים</PartyAliasName>
        <LegalEntityID>12666228</LegalEntityID>
        <CaseLegalEntityID>132382085</CaseLegalEntityID>
        <AuthenticationTypeID>4</AuthenticationTypeID>
        <AuthenticationTypeName>מ.ר.</AuthenticationTypeName>
        <LegalEntityNumber>47897</LegalEntityNumber>
        <IsMainPartyType>true</IsMainPartyType>
        <CaseDisplayIdentifier>48458-09-24</CaseDisplayIdentifier>
        <CaseTypeID>10043</CaseTypeID>
        <CaseTypeName>יישוב סכסוך (י"ס)</CaseTypeName>
        <CaseName>וכטר נ' וכטר</CaseName>
        <FullAddress>הנופר 2 רעננה </FullAddress>
        <EmailAddress>shani.lawyers@gmail.com</EmailAddress>
        <MotionID>0</MotionID>
        <CasePleaID>0</CasePleaID>
        <LinkedCaseID>0</LinkedCaseID>
        <PartyID>2</PartyID>
        <CasePartyCategoryID>2</CasePartyCategoryID>
        <LegalEntityAddressID>84678923</LegalEntityAddressID>
        <LegalEntityEmailAddressID>67960906</LegalEntityEmailAddressID>
        <PleaTypeID>5</PleaTypeID>
        <LawyerOfficeName>משרד עו"ד שני</LawyerOfficeName>
        <LawyerOfficeID>12666229</LawyerOfficeID>
        <GroupPartyAlias/>
        <IsConverted>false</IsConverted>
        <LegalEntityNameID>12388847</LegalEntityNameID>
        <RepresentatedNamesOfAssistant/>
        <LegalEntityTypeID>4</LegalEntityTypeID>
        <IsVerdictExists>false</IsVerdictExists>
        <IsAsirAzir>false</IsAsirAzir>
        <MainAndSecSpec/>
        <IsPublicationProhibited>false</IsPublicationProhibited>
        <PublicationProhibitedFullName>פזית שני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אורטל וכטר</FullName>
        <FirstName>אורטל</FirstName>
        <LastName>וכטר</LastName>
        <PartyPropertyName/>
        <AuthenticationTypeAndNumber>ת"ז 062867965</AuthenticationTypeAndNumber>
        <RepresentatedOrRepresentativesNames>רעות דניאל</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277653114</CasePartyID>
        <PartyTypeID>1</PartyTypeID>
        <ActivityStatusID>1</ActivityStatusID>
        <PartyAliasID>3</PartyAliasID>
        <PartyAliasName>מבקש</PartyAliasName>
        <OrdinalNumber>1</OrdinalNumber>
        <LegalEntityID>82971287</LegalEntityID>
        <CaseLegalEntityID>132332690</CaseLegalEntityID>
        <AuthenticationTypeID>1</AuthenticationTypeID>
        <AuthenticationTypeName>ת"ז</AuthenticationTypeName>
        <LegalEntityNumber>062867965</LegalEntityNumber>
        <IsMainPartyType>true</IsMainPartyType>
        <CaseDisplayIdentifier>48458-09-24</CaseDisplayIdentifier>
        <CaseTypeID>10043</CaseTypeID>
        <CaseTypeName>יישוב סכסוך (י"ס)</CaseTypeName>
        <CaseName>וכטר נ' וכטר</CaseName>
        <FullAddress>קיבוץ רעים רעים </FullAddress>
        <MotionID>0</MotionID>
        <CasePleaID>0</CasePleaID>
        <FatherName>אליאס</FatherName>
        <LinkedCaseID>0</LinkedCaseID>
        <PartyID>1</PartyID>
        <CasePartyCategoryID>2</CasePartyCategoryID>
        <LegalEntityAddressID>90968586</LegalEntityAddressID>
        <PleaTypeID>5</PleaTypeID>
        <GroupPartyAlias>מבקשים</GroupPartyAlias>
        <IsConverted>false</IsConverted>
        <LegalEntityRegisteredNameID>10895884</LegalEntityRegisteredNameID>
        <LegalEntityNameID>98232463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אורטל וכטר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רעות דניאל</FullName>
        <FirstName>רעות</FirstName>
        <LastName>דניאל</LastName>
        <PartyPropertyName/>
        <AuthenticationTypeAndNumber>מ.ר. 44752</AuthenticationTypeAndNumber>
        <RepresentatedOrRepresentativesNames>אורטל וכטר</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277653115</CasePartyID>
        <PartyTypeID>2</PartyTypeID>
        <ActivityStatusID>1</ActivityStatusID>
        <PartyAliasID>22</PartyAliasID>
        <PartyAliasName>בא כוח מבקשים</PartyAliasName>
        <OrdinalNumber>1</OrdinalNumber>
        <LegalEntityID>2352180</LegalEntityID>
        <CaseLegalEntityID>132332691</CaseLegalEntityID>
        <AuthenticationTypeID>4</AuthenticationTypeID>
        <AuthenticationTypeName>מ.ר.</AuthenticationTypeName>
        <LegalEntityNumber>44752</LegalEntityNumber>
        <IsMainPartyType>true</IsMainPartyType>
        <CaseDisplayIdentifier>48458-09-24</CaseDisplayIdentifier>
        <CaseTypeID>10043</CaseTypeID>
        <CaseTypeName>יישוב סכסוך (י"ס)</CaseTypeName>
        <CaseName>וכטר נ' וכטר</CaseName>
        <FullAddress>ויסוצקי 14 תל אביב -יפו </FullAddress>
        <EmailAddress>sharon@lp-lawoffice.co.il</EmailAddress>
        <MotionID>0</MotionID>
        <CasePleaID>0</CasePleaID>
        <LinkedCaseID>0</LinkedCaseID>
        <PartyID>1</PartyID>
        <CasePartyCategoryID>2</CasePartyCategoryID>
        <LegalEntityAddressID>80426418</LegalEntityAddressID>
        <LegalEntityEmailAddressID>68152198</LegalEntityEmailAddressID>
        <PleaTypeID>5</PleaTypeID>
        <LawyerOfficeName>משרד עו"ד: שרון ליכט-פטרן</LawyerOfficeName>
        <LawyerOfficeID>429341</LawyerOfficeID>
        <GroupPartyAlias/>
        <IsConverted>false</IsConverted>
        <LegalEntityNameID>1979295</LegalEntityNameID>
        <RepresentatedNamesOfAssistant/>
        <LegalEntityTypeID>4</LegalEntityTypeID>
        <IsVerdictExists>false</IsVerdictExists>
        <IsAsirAzir>false</IsAsirAzir>
        <MainAndSecSpec/>
        <IsPublicationProhibited>false</IsPublicationProhibited>
        <PublicationProhibitedFullName>רעות דניאל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שמרי וכטר</FullName>
        <FirstName>שימרי</FirstName>
        <LastName>וכטר</LastName>
        <PartyPropertyName/>
        <AuthenticationTypeAndNumber>ת"ז 034215525</AuthenticationTypeAndNumber>
        <RepresentatedOrRepresentativesNames>פזית שני</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277653116</CasePartyID>
        <PartyTypeID>1</PartyTypeID>
        <ActivityStatusID>1</ActivityStatusID>
        <PartyAliasID>4</PartyAliasID>
        <PartyAliasName>משיב</PartyAliasName>
        <OrdinalNumber>1</OrdinalNumber>
        <LegalEntityID>74049963</LegalEntityID>
        <CaseLegalEntityID>132332692</CaseLegalEntityID>
        <AuthenticationTypeID>1</AuthenticationTypeID>
        <AuthenticationTypeName>ת"ז</AuthenticationTypeName>
        <LegalEntityNumber>034215525</LegalEntityNumber>
        <IsMainPartyType>true</IsMainPartyType>
        <CaseDisplayIdentifier>48458-09-24</CaseDisplayIdentifier>
        <CaseTypeID>10043</CaseTypeID>
        <CaseTypeName>יישוב סכסוך (י"ס)</CaseTypeName>
        <CaseName>וכטר נ' וכטר</CaseName>
        <FullAddress>קיבוץ רעים רעים </FullAddress>
        <MotionID>0</MotionID>
        <CasePleaID>0</CasePleaID>
        <FatherName>אברהם</FatherName>
        <LinkedCaseID>0</LinkedCaseID>
        <PartyID>2</PartyID>
        <CasePartyCategoryID>2</CasePartyCategoryID>
        <LegalEntityAddressID>90968587</LegalEntityAddressID>
        <GrandfatherName/>
        <DrivingLicenseNumber>6817240</DrivingLicenseNumber>
        <PleaTypeID>5</PleaTypeID>
        <GroupPartyAlias>משיבים</GroupPartyAlias>
        <IsConverted>false</IsConverted>
        <LegalEntityRegisteredNameID>4627882</LegalEntityRegisteredNameID>
        <LegalEntityNameID>98232464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שמרי וכטר</PublicationProhibitedFullName>
      </CaseParties>
    </CasePartiesSelectionDS>
    <DecisionName>החלטה  שניתנה ע"י  אפרת שהם דליות</DecisionName>
    <CourtDisplayName>בית משפט לענייני משפחה בבאר שבע</CourtDisplayName>
    <IsCaseJudgePanel>false</IsCaseJudgePanel>
    <DecisionSignatureDate>2024-10-01T11:05:36.8399614+03:00</DecisionSignatureDate>
    <OpenCaseDate>2024-09-17T07:00:00+03:00</OpenCaseDate>
    <CaseFeeSum>0.000</CaseFeeSum>
    <DecisionTypeID>1</DecisionTypeID>
    <DecisionSignatureUserName>אפרת שהם דליות</DecisionSignatureUserName>
    <DecisionSignatureDateHebrew>2024-10-01T11:05:36.8399614+03:00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וכטר נ' וכטר</CaseName>
    <DecisionNumberInCase>5</DecisionNumberInCase>
  </dt_Decision>
  <dt_DecisionCase>
    <DecisionID>0</DecisionID>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פזית שני</FullName>
        <FirstName>פזית</FirstName>
        <LastName>שני</LastName>
        <PartyPropertyName/>
        <AuthenticationTypeAndNumber>מ.ר. 47897</AuthenticationTypeAndNumber>
        <RepresentatedOrRepresentativesNames>שמרי וכטר</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277806521</CasePartyID>
        <PartyTypeID>2</PartyTypeID>
        <ActivityStatusID>1</ActivityStatusID>
        <PartyAliasID>23</PartyAliasID>
        <PartyAliasName>בא כוח משיבים</PartyAliasName>
        <LegalEntityID>12666228</LegalEntityID>
        <CaseLegalEntityID>132382085</CaseLegalEntityID>
        <AuthenticationTypeID>4</AuthenticationTypeID>
        <AuthenticationTypeName>מ.ר.</AuthenticationTypeName>
        <LegalEntityNumber>47897</LegalEntityNumber>
        <IsMainPartyType>true</IsMainPartyType>
        <CaseDisplayIdentifier>48458-09-24</CaseDisplayIdentifier>
        <CaseTypeID>10043</CaseTypeID>
        <CaseTypeName>יישוב סכסוך (י"ס)</CaseTypeName>
        <CaseName>וכטר נ' וכטר</CaseName>
        <FullAddress>הנופר 2 רעננה </FullAddress>
        <EmailAddress>shani.lawyers@gmail.com</EmailAddress>
        <MotionID>0</MotionID>
        <CasePleaID>0</CasePleaID>
        <LinkedCaseID>0</LinkedCaseID>
        <PartyID>2</PartyID>
        <CasePartyCategoryID>2</CasePartyCategoryID>
        <LegalEntityAddressID>84678923</LegalEntityAddressID>
        <LegalEntityEmailAddressID>67960906</LegalEntityEmailAddressID>
        <PleaTypeID>5</PleaTypeID>
        <LawyerOfficeName>משרד עו"ד שני</LawyerOfficeName>
        <LawyerOfficeID>12666229</LawyerOfficeID>
        <GroupPartyAlias/>
        <IsConverted>false</IsConverted>
        <LegalEntityNameID>12388847</LegalEntityNameID>
        <RepresentatedNamesOfAssistant/>
        <LegalEntityTypeID>4</LegalEntityTypeID>
        <IsVerdictExists>false</IsVerdictExists>
        <IsAsirAzir>false</IsAsirAzir>
        <MainAndSecSpec/>
        <IsPublicationProhibited>false</IsPublicationProhibited>
        <PublicationProhibitedFullName>פזית שני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אורטל וכטר</FullName>
        <FirstName>אורטל</FirstName>
        <LastName>וכטר</LastName>
        <PartyPropertyName/>
        <AuthenticationTypeAndNumber>ת"ז 062867965</AuthenticationTypeAndNumber>
        <RepresentatedOrRepresentativesNames>רעות דניאל</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277653114</CasePartyID>
        <PartyTypeID>1</PartyTypeID>
        <ActivityStatusID>1</ActivityStatusID>
        <PartyAliasID>3</PartyAliasID>
        <PartyAliasName>מבקש</PartyAliasName>
        <OrdinalNumber>1</OrdinalNumber>
        <LegalEntityID>82971287</LegalEntityID>
        <CaseLegalEntityID>132332690</CaseLegalEntityID>
        <AuthenticationTypeID>1</AuthenticationTypeID>
        <AuthenticationTypeName>ת"ז</AuthenticationTypeName>
        <LegalEntityNumber>062867965</LegalEntityNumber>
        <IsMainPartyType>true</IsMainPartyType>
        <CaseDisplayIdentifier>48458-09-24</CaseDisplayIdentifier>
        <CaseTypeID>10043</CaseTypeID>
        <CaseTypeName>יישוב סכסוך (י"ס)</CaseTypeName>
        <CaseName>וכטר נ' וכטר</CaseName>
        <FullAddress>קיבוץ רעים רעים </FullAddress>
        <MotionID>0</MotionID>
        <CasePleaID>0</CasePleaID>
        <FatherName>אליאס</FatherName>
        <LinkedCaseID>0</LinkedCaseID>
        <PartyID>1</PartyID>
        <CasePartyCategoryID>2</CasePartyCategoryID>
        <LegalEntityAddressID>90968586</LegalEntityAddressID>
        <PleaTypeID>5</PleaTypeID>
        <GroupPartyAlias>מבקשים</GroupPartyAlias>
        <IsConverted>false</IsConverted>
        <LegalEntityRegisteredNameID>10895884</LegalEntityRegisteredNameID>
        <LegalEntityNameID>98232463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אורטל וכטר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רעות דניאל</FullName>
        <FirstName>רעות</FirstName>
        <LastName>דניאל</LastName>
        <PartyPropertyName/>
        <AuthenticationTypeAndNumber>מ.ר. 44752</AuthenticationTypeAndNumber>
        <RepresentatedOrRepresentativesNames>אורטל וכטר</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277653115</CasePartyID>
        <PartyTypeID>2</PartyTypeID>
        <ActivityStatusID>1</ActivityStatusID>
        <PartyAliasID>22</PartyAliasID>
        <PartyAliasName>בא כוח מבקשים</PartyAliasName>
        <OrdinalNumber>1</OrdinalNumber>
        <LegalEntityID>2352180</LegalEntityID>
        <CaseLegalEntityID>132332691</CaseLegalEntityID>
        <AuthenticationTypeID>4</AuthenticationTypeID>
        <AuthenticationTypeName>מ.ר.</AuthenticationTypeName>
        <LegalEntityNumber>44752</LegalEntityNumber>
        <IsMainPartyType>true</IsMainPartyType>
        <CaseDisplayIdentifier>48458-09-24</CaseDisplayIdentifier>
        <CaseTypeID>10043</CaseTypeID>
        <CaseTypeName>יישוב סכסוך (י"ס)</CaseTypeName>
        <CaseName>וכטר נ' וכטר</CaseName>
        <FullAddress>ויסוצקי 14 תל אביב -יפו </FullAddress>
        <EmailAddress>sharon@lp-lawoffice.co.il</EmailAddress>
        <MotionID>0</MotionID>
        <CasePleaID>0</CasePleaID>
        <LinkedCaseID>0</LinkedCaseID>
        <PartyID>1</PartyID>
        <CasePartyCategoryID>2</CasePartyCategoryID>
        <LegalEntityAddressID>80426418</LegalEntityAddressID>
        <LegalEntityEmailAddressID>68152198</LegalEntityEmailAddressID>
        <PleaTypeID>5</PleaTypeID>
        <LawyerOfficeName>משרד עו"ד: שרון ליכט-פטרן</LawyerOfficeName>
        <LawyerOfficeID>429341</LawyerOfficeID>
        <GroupPartyAlias/>
        <IsConverted>false</IsConverted>
        <LegalEntityNameID>1979295</LegalEntityNameID>
        <RepresentatedNamesOfAssistant/>
        <LegalEntityTypeID>4</LegalEntityTypeID>
        <IsVerdictExists>false</IsVerdictExists>
        <IsAsirAzir>false</IsAsirAzir>
        <MainAndSecSpec/>
        <IsPublicationProhibited>false</IsPublicationProhibited>
        <PublicationProhibitedFullName>רעות דניאל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שמרי וכטר</FullName>
        <FirstName>שימרי</FirstName>
        <LastName>וכטר</LastName>
        <PartyPropertyName/>
        <AuthenticationTypeAndNumber>ת"ז 034215525</AuthenticationTypeAndNumber>
        <RepresentatedOrRepresentativesNames>פזית שני</RepresentatedOrRepresentativesNames>
        <RepresentatedOrRepresentativesCount>1</RepresentatedOrRepresentativesCount>
        <InvitedBy/>
        <CaseID>81972296</CaseID>
        <CaseJudicialPersonPresentationDS>
          <CaseJudicalPersonActive>
            <CaseID>81972296</CaseID>
            <JudicialPersonID>031902232@GOV.IL</JudicialPersonID>
            <JudicialPersonTypeID>1</JudicialPersonTypeID>
            <JudicialTypeID>1</JudicialTypeID>
            <IsChairman>false</IsChairman>
            <TreatmentStartDate>2024-09-18T10:20:20.293+03:00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277653116</CasePartyID>
        <PartyTypeID>1</PartyTypeID>
        <ActivityStatusID>1</ActivityStatusID>
        <PartyAliasID>4</PartyAliasID>
        <PartyAliasName>משיב</PartyAliasName>
        <OrdinalNumber>1</OrdinalNumber>
        <LegalEntityID>74049963</LegalEntityID>
        <CaseLegalEntityID>132332692</CaseLegalEntityID>
        <AuthenticationTypeID>1</AuthenticationTypeID>
        <AuthenticationTypeName>ת"ז</AuthenticationTypeName>
        <LegalEntityNumber>034215525</LegalEntityNumber>
        <IsMainPartyType>true</IsMainPartyType>
        <CaseDisplayIdentifier>48458-09-24</CaseDisplayIdentifier>
        <CaseTypeID>10043</CaseTypeID>
        <CaseTypeName>יישוב סכסוך (י"ס)</CaseTypeName>
        <CaseName>וכטר נ' וכטר</CaseName>
        <FullAddress>קיבוץ רעים רעים </FullAddress>
        <MotionID>0</MotionID>
        <CasePleaID>0</CasePleaID>
        <FatherName>אברהם</FatherName>
        <LinkedCaseID>0</LinkedCaseID>
        <PartyID>2</PartyID>
        <CasePartyCategoryID>2</CasePartyCategoryID>
        <LegalEntityAddressID>90968587</LegalEntityAddressID>
        <GrandfatherName/>
        <DrivingLicenseNumber>6817240</DrivingLicenseNumber>
        <PleaTypeID>5</PleaTypeID>
        <GroupPartyAlias>משיבים</GroupPartyAlias>
        <IsConverted>false</IsConverted>
        <LegalEntityRegisteredNameID>4627882</LegalEntityRegisteredNameID>
        <LegalEntityNameID>98232464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שמרי וכטר</PublicationProhibitedFullName>
      </CaseParties>
    </CasePartiesSelectionDS>
    <CaseName>וכטר נ' וכטר</CaseName>
    <CaseDisplayIdentifier>48458-09-24</CaseDisplayIdentifier>
    <CaseInterestID>10465</CaseInterestID>
    <CaseTypeShortName>י"ס</CaseTypeShortName>
  </dt_DecisionCase>
  <dt_DecisionJudgePanel>
    <JudgeID>031902232@GOV.IL</JudgeID>
    <DisplayName>אפרת שהם דליות</DisplayName>
    <RoleName>שופט</RoleName>
    <UserTitleName>שופטת</UserTitleName>
  </dt_DecisionJudgePanel>
  <dt_LegalEntityDetails>
    <Fax>077-4302033</Fax>
    <PartyID>2</PartyID>
    <PartyTypeID>2</PartyTypeID>
    <DecisionID>0</DecisionID>
    <StreetName>הנופר 2</StreetName>
    <CityName>רעננה</CityName>
    <FullName>פזית  שני</FullName>
    <Email>shani.lawyers@gmail.com</Email>
    <IsPublicationProhibited>false</IsPublicationProhibited>
  </dt_LegalEntityDetails>
  <dt_LegalEntityDetails>
    <PartyID>1</PartyID>
    <PartyTypeID>1</PartyTypeID>
    <DecisionID>0</DecisionID>
    <StreetName>קיבוץ רעים</StreetName>
    <CityName>רעים</CityName>
    <FullName>אורטל וכטר</FullName>
    <IsPublicationProhibited>false</IsPublicationProhibited>
  </dt_LegalEntityDetails>
  <dt_LegalEntityDetails>
    <Fax>03-9744920</Fax>
    <Phone>03-9744900</Phone>
    <PartyID>1</PartyID>
    <PartyTypeID>2</PartyTypeID>
    <DecisionID>0</DecisionID>
    <StreetName>ויסוצקי 14</StreetName>
    <ZipCode>62338</ZipCode>
    <CityName>תל אביב -יפו</CityName>
    <FullName>רעות דניאל</FullName>
    <Email>sharon@lp-lawoffice.co.il</Email>
    <IsPublicationProhibited>false</IsPublicationProhibited>
  </dt_LegalEntityDetails>
  <dt_LegalEntityDetails>
    <PartyID>2</PartyID>
    <PartyTypeID>1</PartyTypeID>
    <DecisionID>0</DecisionID>
    <StreetName>קיבוץ רעים</StreetName>
    <CityName>רעים</CityName>
    <FullName>שמרי וכטר</FullName>
    <IsPublicationProhibited>false</IsPublicationProhibited>
  </dt_LegalEntityDetails>
  <dt_CaseJudicalPersonActive>
    <CaseJudicalPerson>שופטת אפרת שהם דליות</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AC2CB-C3F9-4F05-B857-F85E049F4865}">
  <ds:schemaRefs/>
</ds:datastoreItem>
</file>

<file path=customXml/itemProps2.xml><?xml version="1.0" encoding="utf-8"?>
<ds:datastoreItem xmlns:ds="http://schemas.openxmlformats.org/officeDocument/2006/customXml" ds:itemID="{1E460068-6A8B-4B04-97AC-73B3C499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4627</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2024-12-01T13:26:00Z</cp:lastPrinted>
  <dcterms:created xsi:type="dcterms:W3CDTF">2025-01-02T06:49:00Z</dcterms:created>
  <dcterms:modified xsi:type="dcterms:W3CDTF">2025-01-02T06:49:00Z</dcterms:modified>
</cp:coreProperties>
</file>